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33742273" w:rsidR="00760CAB" w:rsidRPr="00FE70EB" w:rsidRDefault="00282EA2" w:rsidP="007D084C">
      <w:pPr>
        <w:spacing w:line="360" w:lineRule="auto"/>
        <w:ind w:firstLineChars="252" w:firstLine="708"/>
        <w:rPr>
          <w:rFonts w:ascii="仿宋" w:eastAsia="仿宋" w:hAnsi="仿宋"/>
          <w:sz w:val="28"/>
          <w:szCs w:val="24"/>
        </w:rPr>
      </w:pPr>
      <w:bookmarkStart w:id="0" w:name="_Hlk89712118"/>
      <w:r>
        <w:rPr>
          <w:rFonts w:ascii="仿宋" w:eastAsia="仿宋" w:hAnsi="仿宋" w:hint="eastAsia"/>
          <w:b/>
          <w:bCs/>
          <w:sz w:val="28"/>
          <w:szCs w:val="24"/>
          <w:u w:val="single"/>
        </w:rPr>
        <w:t xml:space="preserve"> </w:t>
      </w:r>
      <w:r w:rsidR="000F0192" w:rsidRPr="000F0192">
        <w:rPr>
          <w:rFonts w:ascii="仿宋" w:eastAsia="仿宋" w:hAnsi="仿宋" w:hint="eastAsia"/>
          <w:b/>
          <w:bCs/>
          <w:sz w:val="28"/>
          <w:szCs w:val="24"/>
          <w:u w:val="single"/>
        </w:rPr>
        <w:t>江门市新会区世纪淘宝商城有限公司</w:t>
      </w:r>
      <w:r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322C0F">
        <w:rPr>
          <w:rFonts w:ascii="仿宋" w:eastAsia="仿宋" w:hAnsi="仿宋"/>
          <w:sz w:val="28"/>
          <w:szCs w:val="24"/>
          <w:u w:val="single"/>
        </w:rPr>
        <w:t>2025</w:t>
      </w:r>
      <w:r w:rsidR="005E6E0E" w:rsidRPr="00FE70EB">
        <w:rPr>
          <w:rFonts w:ascii="仿宋" w:eastAsia="仿宋" w:hAnsi="仿宋"/>
          <w:sz w:val="28"/>
          <w:szCs w:val="24"/>
        </w:rPr>
        <w:t>年</w:t>
      </w:r>
      <w:r w:rsidR="00322C0F">
        <w:rPr>
          <w:rFonts w:ascii="仿宋" w:eastAsia="仿宋" w:hAnsi="仿宋"/>
          <w:sz w:val="28"/>
          <w:szCs w:val="24"/>
          <w:u w:val="single"/>
        </w:rPr>
        <w:t>8</w:t>
      </w:r>
      <w:r w:rsidR="00E50521" w:rsidRPr="00FE70EB">
        <w:rPr>
          <w:rFonts w:ascii="仿宋" w:eastAsia="仿宋" w:hAnsi="仿宋"/>
          <w:sz w:val="28"/>
          <w:szCs w:val="24"/>
        </w:rPr>
        <w:t>月</w:t>
      </w:r>
      <w:r w:rsidR="00322C0F">
        <w:rPr>
          <w:rFonts w:ascii="仿宋" w:eastAsia="仿宋" w:hAnsi="仿宋"/>
          <w:sz w:val="28"/>
          <w:szCs w:val="24"/>
          <w:u w:val="single"/>
        </w:rPr>
        <w:t>20</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000F0192" w:rsidRPr="000F0192">
        <w:rPr>
          <w:rFonts w:ascii="仿宋" w:eastAsia="仿宋" w:hAnsi="仿宋"/>
          <w:sz w:val="28"/>
          <w:szCs w:val="24"/>
          <w:u w:val="single"/>
        </w:rPr>
        <w:t>1,529.00</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322C0F" w:rsidRPr="000773C6">
        <w:rPr>
          <w:rFonts w:ascii="仿宋_GB2312" w:eastAsia="仿宋_GB2312"/>
          <w:sz w:val="28"/>
          <w:szCs w:val="24"/>
        </w:rPr>
        <w:t>（</w:t>
      </w:r>
      <w:r w:rsidR="00322C0F" w:rsidRPr="002737E9">
        <w:rPr>
          <w:rFonts w:ascii="仿宋_GB2312" w:eastAsia="仿宋_GB2312" w:hint="eastAsia"/>
          <w:sz w:val="28"/>
          <w:szCs w:val="24"/>
        </w:rPr>
        <w:t>利息等具体以实际计算为准。</w:t>
      </w:r>
      <w:r w:rsidR="00322C0F" w:rsidRPr="000773C6">
        <w:rPr>
          <w:rFonts w:ascii="仿宋_GB2312" w:eastAsia="仿宋_GB2312"/>
          <w:sz w:val="28"/>
          <w:szCs w:val="24"/>
        </w:rPr>
        <w:t>具体以借款合同、担保合同及中国人民银行的有关规定或生效法律文书及相关法律法规确定的方法计算为准）</w:t>
      </w:r>
      <w:r w:rsidR="00F76F6F" w:rsidRPr="00FE70EB">
        <w:rPr>
          <w:rFonts w:ascii="仿宋" w:eastAsia="仿宋" w:hAnsi="仿宋"/>
          <w:sz w:val="28"/>
          <w:szCs w:val="24"/>
        </w:rPr>
        <w:t>。</w:t>
      </w:r>
      <w:bookmarkEnd w:id="0"/>
      <w:r w:rsidR="00287A31" w:rsidRPr="00FE70EB">
        <w:rPr>
          <w:rFonts w:ascii="仿宋" w:eastAsia="仿宋" w:hAnsi="仿宋" w:hint="eastAsia"/>
          <w:sz w:val="28"/>
          <w:szCs w:val="24"/>
        </w:rPr>
        <w:t>具体情况如下：</w:t>
      </w:r>
    </w:p>
    <w:p w14:paraId="6344DB2B" w14:textId="17A5111E"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w:t>
      </w:r>
      <w:r w:rsidR="000F0192">
        <w:rPr>
          <w:rFonts w:ascii="仿宋" w:eastAsia="仿宋" w:hAnsi="仿宋" w:hint="eastAsia"/>
          <w:sz w:val="28"/>
          <w:szCs w:val="24"/>
        </w:rPr>
        <w:t>万</w:t>
      </w:r>
      <w:r w:rsidRPr="00FE70EB">
        <w:rPr>
          <w:rFonts w:ascii="仿宋" w:eastAsia="仿宋" w:hAnsi="仿宋" w:hint="eastAsia"/>
          <w:sz w:val="28"/>
          <w:szCs w:val="24"/>
        </w:rPr>
        <w:t>元</w:t>
      </w:r>
    </w:p>
    <w:tbl>
      <w:tblPr>
        <w:tblW w:w="59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981"/>
        <w:gridCol w:w="992"/>
        <w:gridCol w:w="2821"/>
        <w:gridCol w:w="2706"/>
        <w:gridCol w:w="1418"/>
      </w:tblGrid>
      <w:tr w:rsidR="000F0192" w14:paraId="5779B056" w14:textId="77777777" w:rsidTr="000F0192">
        <w:trPr>
          <w:trHeight w:val="612"/>
          <w:tblHeader/>
          <w:jc w:val="center"/>
        </w:trPr>
        <w:tc>
          <w:tcPr>
            <w:tcW w:w="999" w:type="pct"/>
            <w:shd w:val="clear" w:color="auto" w:fill="FFFFFF"/>
            <w:vAlign w:val="center"/>
          </w:tcPr>
          <w:p w14:paraId="772BF005" w14:textId="77777777" w:rsidR="000F0192" w:rsidRDefault="000F0192" w:rsidP="003D0C82">
            <w:pPr>
              <w:jc w:val="center"/>
              <w:rPr>
                <w:rFonts w:ascii="Times New Roman" w:eastAsia="仿宋_GB2312" w:hAnsi="Times New Roman" w:cs="Times New Roman"/>
                <w:b/>
                <w:szCs w:val="21"/>
              </w:rPr>
            </w:pPr>
            <w:r>
              <w:rPr>
                <w:rFonts w:ascii="Times New Roman" w:eastAsia="仿宋_GB2312" w:hAnsi="Times New Roman" w:cs="Times New Roman"/>
                <w:b/>
                <w:szCs w:val="21"/>
              </w:rPr>
              <w:t>借款人名称</w:t>
            </w:r>
          </w:p>
        </w:tc>
        <w:tc>
          <w:tcPr>
            <w:tcW w:w="500" w:type="pct"/>
            <w:shd w:val="clear" w:color="auto" w:fill="FFFFFF"/>
            <w:vAlign w:val="center"/>
          </w:tcPr>
          <w:p w14:paraId="6BA3EEBE" w14:textId="77777777" w:rsidR="000F0192" w:rsidRDefault="000F0192" w:rsidP="003D0C82">
            <w:pPr>
              <w:jc w:val="center"/>
              <w:rPr>
                <w:rFonts w:ascii="Times New Roman" w:eastAsia="仿宋_GB2312" w:hAnsi="Times New Roman" w:cs="Times New Roman"/>
                <w:b/>
                <w:szCs w:val="21"/>
              </w:rPr>
            </w:pPr>
            <w:r>
              <w:rPr>
                <w:rFonts w:ascii="Times New Roman" w:eastAsia="仿宋_GB2312" w:hAnsi="Times New Roman" w:cs="Times New Roman"/>
                <w:b/>
                <w:szCs w:val="21"/>
              </w:rPr>
              <w:t>本金</w:t>
            </w:r>
          </w:p>
        </w:tc>
        <w:tc>
          <w:tcPr>
            <w:tcW w:w="1422" w:type="pct"/>
            <w:shd w:val="clear" w:color="auto" w:fill="FFFFFF"/>
            <w:vAlign w:val="center"/>
          </w:tcPr>
          <w:p w14:paraId="760E02CD" w14:textId="77777777" w:rsidR="000F0192" w:rsidRDefault="000F0192" w:rsidP="003D0C82">
            <w:pPr>
              <w:jc w:val="center"/>
              <w:rPr>
                <w:rFonts w:ascii="Times New Roman" w:eastAsia="仿宋_GB2312" w:hAnsi="Times New Roman" w:cs="Times New Roman"/>
                <w:b/>
                <w:szCs w:val="21"/>
              </w:rPr>
            </w:pPr>
            <w:r>
              <w:rPr>
                <w:rFonts w:ascii="Times New Roman" w:eastAsia="仿宋_GB2312" w:hAnsi="Times New Roman" w:cs="Times New Roman"/>
                <w:b/>
                <w:szCs w:val="21"/>
              </w:rPr>
              <w:t>抵质押物情况</w:t>
            </w:r>
          </w:p>
        </w:tc>
        <w:tc>
          <w:tcPr>
            <w:tcW w:w="1364" w:type="pct"/>
            <w:shd w:val="clear" w:color="auto" w:fill="FFFFFF"/>
            <w:vAlign w:val="center"/>
          </w:tcPr>
          <w:p w14:paraId="128E632B" w14:textId="77777777" w:rsidR="000F0192" w:rsidRDefault="000F0192" w:rsidP="003D0C82">
            <w:pPr>
              <w:jc w:val="center"/>
              <w:rPr>
                <w:rFonts w:ascii="Times New Roman" w:eastAsia="仿宋_GB2312" w:hAnsi="Times New Roman" w:cs="Times New Roman"/>
                <w:b/>
                <w:szCs w:val="21"/>
              </w:rPr>
            </w:pPr>
            <w:r>
              <w:rPr>
                <w:rFonts w:ascii="Times New Roman" w:eastAsia="仿宋_GB2312" w:hAnsi="Times New Roman" w:cs="Times New Roman"/>
                <w:b/>
                <w:szCs w:val="21"/>
              </w:rPr>
              <w:t>保证人</w:t>
            </w:r>
          </w:p>
        </w:tc>
        <w:tc>
          <w:tcPr>
            <w:tcW w:w="715" w:type="pct"/>
            <w:shd w:val="clear" w:color="auto" w:fill="FFFFFF"/>
            <w:vAlign w:val="center"/>
          </w:tcPr>
          <w:p w14:paraId="7B7F2349" w14:textId="77777777" w:rsidR="000F0192" w:rsidRDefault="000F0192" w:rsidP="003D0C82">
            <w:pPr>
              <w:jc w:val="center"/>
              <w:rPr>
                <w:rFonts w:ascii="Times New Roman" w:eastAsia="仿宋_GB2312" w:hAnsi="Times New Roman" w:cs="Times New Roman"/>
                <w:b/>
                <w:szCs w:val="21"/>
              </w:rPr>
            </w:pPr>
            <w:r>
              <w:rPr>
                <w:rFonts w:ascii="Times New Roman" w:eastAsia="仿宋_GB2312" w:hAnsi="Times New Roman" w:cs="Times New Roman"/>
                <w:b/>
                <w:szCs w:val="21"/>
              </w:rPr>
              <w:t>诉讼情况</w:t>
            </w:r>
          </w:p>
        </w:tc>
      </w:tr>
      <w:tr w:rsidR="000F0192" w14:paraId="13711875" w14:textId="77777777" w:rsidTr="000F0192">
        <w:trPr>
          <w:trHeight w:val="454"/>
          <w:jc w:val="center"/>
        </w:trPr>
        <w:tc>
          <w:tcPr>
            <w:tcW w:w="999" w:type="pct"/>
            <w:shd w:val="clear" w:color="auto" w:fill="FFFFFF"/>
            <w:vAlign w:val="center"/>
          </w:tcPr>
          <w:p w14:paraId="726EC727" w14:textId="77777777" w:rsidR="000F0192" w:rsidRDefault="000F0192" w:rsidP="003D0C82">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江门市新会区世纪淘宝商城有限公司</w:t>
            </w:r>
          </w:p>
        </w:tc>
        <w:tc>
          <w:tcPr>
            <w:tcW w:w="500" w:type="pct"/>
            <w:shd w:val="clear" w:color="auto" w:fill="FFFFFF"/>
            <w:vAlign w:val="center"/>
          </w:tcPr>
          <w:p w14:paraId="1EDB234C" w14:textId="77777777" w:rsidR="000F0192" w:rsidRDefault="000F0192" w:rsidP="003D0C82">
            <w:pPr>
              <w:jc w:val="center"/>
              <w:rPr>
                <w:rFonts w:ascii="Times New Roman" w:eastAsia="仿宋_GB2312" w:hAnsi="Times New Roman" w:cs="Times New Roman"/>
                <w:szCs w:val="21"/>
              </w:rPr>
            </w:pPr>
            <w:r>
              <w:rPr>
                <w:rFonts w:ascii="Times New Roman" w:eastAsia="仿宋_GB2312" w:hAnsi="Times New Roman" w:cs="Times New Roman"/>
                <w:szCs w:val="21"/>
              </w:rPr>
              <w:t>1,529.00</w:t>
            </w:r>
          </w:p>
        </w:tc>
        <w:tc>
          <w:tcPr>
            <w:tcW w:w="1422" w:type="pct"/>
            <w:shd w:val="clear" w:color="auto" w:fill="FFFFFF"/>
            <w:vAlign w:val="center"/>
          </w:tcPr>
          <w:p w14:paraId="7FCF314A" w14:textId="77777777" w:rsidR="000F0192" w:rsidRDefault="000F0192" w:rsidP="003D0C82">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江门市新会区会城世纪商业街</w:t>
            </w:r>
            <w:r>
              <w:rPr>
                <w:rFonts w:ascii="Times New Roman" w:eastAsia="仿宋_GB2312" w:hAnsi="Times New Roman" w:cs="Times New Roman"/>
                <w:szCs w:val="21"/>
              </w:rPr>
              <w:t>2</w:t>
            </w:r>
            <w:r>
              <w:rPr>
                <w:rFonts w:ascii="Times New Roman" w:eastAsia="仿宋_GB2312" w:hAnsi="Times New Roman" w:cs="Times New Roman"/>
                <w:szCs w:val="21"/>
              </w:rPr>
              <w:t>号首层的</w:t>
            </w:r>
            <w:r>
              <w:rPr>
                <w:rFonts w:ascii="Times New Roman" w:eastAsia="仿宋_GB2312" w:hAnsi="Times New Roman" w:cs="Times New Roman"/>
                <w:szCs w:val="21"/>
              </w:rPr>
              <w:t>20</w:t>
            </w:r>
            <w:r>
              <w:rPr>
                <w:rFonts w:ascii="Times New Roman" w:eastAsia="仿宋_GB2312" w:hAnsi="Times New Roman" w:cs="Times New Roman"/>
                <w:szCs w:val="21"/>
              </w:rPr>
              <w:t>个商业用房，商业用房面积为</w:t>
            </w:r>
            <w:r>
              <w:rPr>
                <w:rFonts w:ascii="Times New Roman" w:eastAsia="仿宋_GB2312" w:hAnsi="Times New Roman" w:cs="Times New Roman"/>
                <w:szCs w:val="21"/>
              </w:rPr>
              <w:t>897.73</w:t>
            </w:r>
            <w:r>
              <w:rPr>
                <w:rFonts w:ascii="Times New Roman" w:eastAsia="仿宋_GB2312" w:hAnsi="Times New Roman" w:cs="Times New Roman"/>
                <w:szCs w:val="21"/>
              </w:rPr>
              <w:t>平方米</w:t>
            </w:r>
          </w:p>
        </w:tc>
        <w:tc>
          <w:tcPr>
            <w:tcW w:w="1364" w:type="pct"/>
            <w:shd w:val="clear" w:color="auto" w:fill="FFFFFF"/>
            <w:vAlign w:val="center"/>
          </w:tcPr>
          <w:p w14:paraId="4AA2E3C9" w14:textId="77777777" w:rsidR="000F0192" w:rsidRDefault="000F0192" w:rsidP="003D0C82">
            <w:pPr>
              <w:jc w:val="center"/>
              <w:rPr>
                <w:rFonts w:ascii="Times New Roman" w:eastAsia="仿宋_GB2312" w:hAnsi="Times New Roman" w:cs="Times New Roman"/>
                <w:szCs w:val="21"/>
              </w:rPr>
            </w:pPr>
            <w:r>
              <w:rPr>
                <w:rFonts w:ascii="Times New Roman" w:eastAsia="仿宋_GB2312" w:hAnsi="Times New Roman" w:cs="Times New Roman" w:hint="eastAsia"/>
                <w:szCs w:val="21"/>
              </w:rPr>
              <w:t>黄北枝、黄华铨、李秀雯、江门市新会区新辉房地产开发有限公司</w:t>
            </w:r>
          </w:p>
        </w:tc>
        <w:tc>
          <w:tcPr>
            <w:tcW w:w="715" w:type="pct"/>
            <w:shd w:val="clear" w:color="auto" w:fill="FFFFFF"/>
            <w:vAlign w:val="center"/>
          </w:tcPr>
          <w:p w14:paraId="66097241" w14:textId="5A7171A1" w:rsidR="000F0192" w:rsidRDefault="000F0192" w:rsidP="003D0C82">
            <w:pPr>
              <w:jc w:val="center"/>
              <w:rPr>
                <w:rFonts w:ascii="Times New Roman" w:eastAsia="仿宋_GB2312" w:hAnsi="Times New Roman" w:cs="Times New Roman"/>
                <w:szCs w:val="21"/>
              </w:rPr>
            </w:pPr>
            <w:r>
              <w:rPr>
                <w:rFonts w:ascii="Times New Roman" w:eastAsia="仿宋_GB2312" w:hAnsi="Times New Roman" w:cs="Times New Roman" w:hint="eastAsia"/>
                <w:szCs w:val="21"/>
              </w:rPr>
              <w:t>执行</w:t>
            </w: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12B5296C" w14:textId="0EE3750E" w:rsidR="00EB1BCD" w:rsidRDefault="00322C0F" w:rsidP="00322C0F">
      <w:pPr>
        <w:ind w:firstLineChars="200" w:firstLine="560"/>
        <w:rPr>
          <w:rFonts w:ascii="仿宋" w:eastAsia="仿宋" w:hAnsi="仿宋" w:cs="Times New Roman"/>
          <w:bCs/>
          <w:kern w:val="0"/>
          <w:sz w:val="28"/>
          <w:szCs w:val="32"/>
        </w:rPr>
      </w:pPr>
      <w:r>
        <w:rPr>
          <w:rFonts w:ascii="仿宋" w:eastAsia="仿宋" w:hAnsi="仿宋" w:cs="Times New Roman" w:hint="eastAsia"/>
          <w:bCs/>
          <w:kern w:val="0"/>
          <w:sz w:val="28"/>
          <w:szCs w:val="32"/>
        </w:rPr>
        <w:t>抵押物为</w:t>
      </w:r>
      <w:r w:rsidRPr="00322C0F">
        <w:rPr>
          <w:rFonts w:ascii="仿宋" w:eastAsia="仿宋" w:hAnsi="仿宋" w:cs="Times New Roman" w:hint="eastAsia"/>
          <w:bCs/>
          <w:kern w:val="0"/>
          <w:sz w:val="28"/>
          <w:szCs w:val="32"/>
        </w:rPr>
        <w:t>位于【</w:t>
      </w:r>
      <w:r w:rsidR="000F0192" w:rsidRPr="00D84AC8">
        <w:rPr>
          <w:rFonts w:ascii="仿宋_GB2312" w:eastAsia="仿宋_GB2312" w:hAnsi="仿宋_GB2312" w:cs="仿宋_GB2312" w:hint="eastAsia"/>
          <w:sz w:val="28"/>
          <w:szCs w:val="28"/>
        </w:rPr>
        <w:t>江门市新会区会城世纪商业街2号首层的20个商业用房</w:t>
      </w:r>
      <w:r w:rsidRPr="00322C0F">
        <w:rPr>
          <w:rFonts w:ascii="仿宋" w:eastAsia="仿宋" w:hAnsi="仿宋" w:cs="Times New Roman"/>
          <w:bCs/>
          <w:kern w:val="0"/>
          <w:sz w:val="28"/>
          <w:szCs w:val="32"/>
        </w:rPr>
        <w:t>】，共计【</w:t>
      </w:r>
      <w:r w:rsidR="000F0192" w:rsidRPr="00D84AC8">
        <w:rPr>
          <w:rFonts w:ascii="仿宋_GB2312" w:eastAsia="仿宋_GB2312" w:hAnsi="仿宋_GB2312" w:cs="仿宋_GB2312"/>
          <w:sz w:val="28"/>
          <w:szCs w:val="28"/>
        </w:rPr>
        <w:t>897.73</w:t>
      </w:r>
      <w:r w:rsidRPr="00322C0F">
        <w:rPr>
          <w:rFonts w:ascii="仿宋" w:eastAsia="仿宋" w:hAnsi="仿宋" w:cs="Times New Roman"/>
          <w:bCs/>
          <w:kern w:val="0"/>
          <w:sz w:val="28"/>
          <w:szCs w:val="32"/>
        </w:rPr>
        <w:t>】平方米。</w:t>
      </w:r>
      <w:r w:rsidR="000F0192" w:rsidRPr="000F0192">
        <w:rPr>
          <w:rFonts w:ascii="仿宋" w:eastAsia="仿宋" w:hAnsi="仿宋" w:cs="Times New Roman" w:hint="eastAsia"/>
          <w:bCs/>
          <w:kern w:val="0"/>
          <w:sz w:val="28"/>
          <w:szCs w:val="32"/>
        </w:rPr>
        <w:t>抵押物所在地会城世纪商业街位于新会区核心商圈，毗邻万达广场、大润发综合型商场。周边住宅密集，人流量大，基础配套设施完善。交通便捷，</w:t>
      </w:r>
      <w:r w:rsidR="000F0192" w:rsidRPr="000F0192">
        <w:rPr>
          <w:rFonts w:ascii="仿宋" w:eastAsia="仿宋" w:hAnsi="仿宋" w:cs="Times New Roman"/>
          <w:bCs/>
          <w:kern w:val="0"/>
          <w:sz w:val="28"/>
          <w:szCs w:val="32"/>
        </w:rPr>
        <w:t>10分钟可达高铁站，15分钟到达江门市区，30分钟能到珠海、中山等周边城市。</w:t>
      </w:r>
    </w:p>
    <w:p w14:paraId="454CE185" w14:textId="77777777" w:rsidR="00322C0F" w:rsidRDefault="00322C0F" w:rsidP="00322C0F">
      <w:pPr>
        <w:ind w:firstLineChars="200" w:firstLine="560"/>
        <w:rPr>
          <w:rFonts w:ascii="仿宋" w:eastAsia="仿宋" w:hAnsi="仿宋" w:cs="Times New Roman"/>
          <w:bCs/>
          <w:kern w:val="0"/>
          <w:sz w:val="28"/>
          <w:szCs w:val="32"/>
        </w:rPr>
      </w:pPr>
    </w:p>
    <w:p w14:paraId="7AA1F695" w14:textId="7DBA9263" w:rsidR="00B00ED3" w:rsidRPr="00322C0F" w:rsidRDefault="00152FFE" w:rsidP="00322C0F">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ae"/>
        <w:tblW w:w="5309" w:type="pct"/>
        <w:tblInd w:w="-113" w:type="dxa"/>
        <w:tblLook w:val="04A0" w:firstRow="1" w:lastRow="0" w:firstColumn="1" w:lastColumn="0" w:noHBand="0" w:noVBand="1"/>
      </w:tblPr>
      <w:tblGrid>
        <w:gridCol w:w="4386"/>
        <w:gridCol w:w="4566"/>
      </w:tblGrid>
      <w:tr w:rsidR="00E23C44" w:rsidRPr="00FE31FC" w14:paraId="0AF14380" w14:textId="77777777" w:rsidTr="00322C0F">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7B156A" w14:textId="3C21094F" w:rsidR="00E23C44" w:rsidRPr="008E630D" w:rsidRDefault="000F0192" w:rsidP="008E630D">
            <w:pPr>
              <w:rPr>
                <w:rFonts w:ascii="仿宋" w:eastAsia="仿宋" w:hAnsi="仿宋"/>
                <w:kern w:val="0"/>
                <w:sz w:val="28"/>
                <w:szCs w:val="32"/>
              </w:rPr>
            </w:pPr>
            <w:r w:rsidRPr="000F0192">
              <w:rPr>
                <w:rFonts w:ascii="仿宋" w:eastAsia="仿宋" w:hAnsi="仿宋" w:hint="eastAsia"/>
                <w:bCs/>
                <w:kern w:val="0"/>
                <w:sz w:val="28"/>
                <w:szCs w:val="32"/>
              </w:rPr>
              <w:t>会城世纪商业街</w:t>
            </w:r>
          </w:p>
        </w:tc>
      </w:tr>
      <w:tr w:rsidR="00E23C44" w:rsidRPr="00FE31FC" w14:paraId="390A91A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64C3D879" w14:textId="393671DA" w:rsidR="00E23C44" w:rsidRPr="008E630D" w:rsidRDefault="000F0192" w:rsidP="008E630D">
            <w:pPr>
              <w:rPr>
                <w:rFonts w:ascii="仿宋" w:eastAsia="仿宋" w:hAnsi="仿宋"/>
                <w:kern w:val="0"/>
                <w:sz w:val="28"/>
                <w:szCs w:val="32"/>
              </w:rPr>
            </w:pPr>
            <w:r w:rsidRPr="001B0C0D">
              <w:rPr>
                <w:rFonts w:eastAsia="仿宋_GB2312"/>
                <w:noProof/>
              </w:rPr>
              <w:lastRenderedPageBreak/>
              <w:drawing>
                <wp:inline distT="0" distB="0" distL="0" distR="0" wp14:anchorId="78BA8033" wp14:editId="7BF54446">
                  <wp:extent cx="2647950" cy="198644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8909" cy="2002164"/>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hideMark/>
          </w:tcPr>
          <w:p w14:paraId="6CCE150D" w14:textId="708467BC" w:rsidR="00E23C44" w:rsidRPr="008E630D" w:rsidRDefault="000F0192" w:rsidP="008E630D">
            <w:pPr>
              <w:rPr>
                <w:rFonts w:ascii="仿宋" w:eastAsia="仿宋" w:hAnsi="仿宋"/>
                <w:kern w:val="0"/>
                <w:sz w:val="28"/>
                <w:szCs w:val="32"/>
              </w:rPr>
            </w:pPr>
            <w:r w:rsidRPr="001B0C0D">
              <w:rPr>
                <w:rFonts w:eastAsia="仿宋_GB2312"/>
                <w:noProof/>
              </w:rPr>
              <w:drawing>
                <wp:inline distT="0" distB="0" distL="0" distR="0" wp14:anchorId="228C7C61" wp14:editId="3BE8A88A">
                  <wp:extent cx="2683824" cy="2013353"/>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99971" cy="2025466"/>
                          </a:xfrm>
                          <a:prstGeom prst="rect">
                            <a:avLst/>
                          </a:prstGeom>
                          <a:noFill/>
                          <a:ln>
                            <a:noFill/>
                          </a:ln>
                        </pic:spPr>
                      </pic:pic>
                    </a:graphicData>
                  </a:graphic>
                </wp:inline>
              </w:drawing>
            </w:r>
          </w:p>
        </w:tc>
      </w:tr>
      <w:tr w:rsidR="00E23C44" w:rsidRPr="00FE31FC" w14:paraId="3383FF0E" w14:textId="77777777" w:rsidTr="00322C0F">
        <w:tc>
          <w:tcPr>
            <w:tcW w:w="2439" w:type="pct"/>
            <w:tcBorders>
              <w:top w:val="single" w:sz="4" w:space="0" w:color="auto"/>
              <w:left w:val="single" w:sz="4" w:space="0" w:color="auto"/>
              <w:bottom w:val="single" w:sz="4" w:space="0" w:color="auto"/>
              <w:right w:val="single" w:sz="4" w:space="0" w:color="auto"/>
            </w:tcBorders>
            <w:vAlign w:val="center"/>
            <w:hideMark/>
          </w:tcPr>
          <w:p w14:paraId="00EE221C" w14:textId="4E5E1143" w:rsidR="00E23C44" w:rsidRPr="008E630D" w:rsidRDefault="000F0192" w:rsidP="008E630D">
            <w:pPr>
              <w:rPr>
                <w:rFonts w:ascii="仿宋" w:eastAsia="仿宋" w:hAnsi="仿宋"/>
                <w:kern w:val="0"/>
                <w:sz w:val="28"/>
                <w:szCs w:val="32"/>
              </w:rPr>
            </w:pPr>
            <w:r w:rsidRPr="001B0C0D">
              <w:rPr>
                <w:rFonts w:eastAsia="仿宋_GB2312"/>
                <w:noProof/>
              </w:rPr>
              <w:drawing>
                <wp:inline distT="0" distB="0" distL="0" distR="0" wp14:anchorId="09C927BC" wp14:editId="077DB6C0">
                  <wp:extent cx="2648198" cy="1986626"/>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62682" cy="1997492"/>
                          </a:xfrm>
                          <a:prstGeom prst="rect">
                            <a:avLst/>
                          </a:prstGeom>
                          <a:noFill/>
                          <a:ln>
                            <a:noFill/>
                          </a:ln>
                        </pic:spPr>
                      </pic:pic>
                    </a:graphicData>
                  </a:graphic>
                </wp:inline>
              </w:drawing>
            </w:r>
          </w:p>
        </w:tc>
        <w:tc>
          <w:tcPr>
            <w:tcW w:w="2561" w:type="pct"/>
            <w:tcBorders>
              <w:top w:val="single" w:sz="4" w:space="0" w:color="auto"/>
              <w:left w:val="single" w:sz="4" w:space="0" w:color="auto"/>
              <w:bottom w:val="single" w:sz="4" w:space="0" w:color="auto"/>
              <w:right w:val="single" w:sz="4" w:space="0" w:color="auto"/>
            </w:tcBorders>
            <w:vAlign w:val="center"/>
          </w:tcPr>
          <w:p w14:paraId="5C0E8152" w14:textId="61020932" w:rsidR="00E23C44" w:rsidRPr="008E630D" w:rsidRDefault="000F0192" w:rsidP="008E630D">
            <w:pPr>
              <w:rPr>
                <w:rFonts w:ascii="仿宋" w:eastAsia="仿宋" w:hAnsi="仿宋"/>
                <w:kern w:val="0"/>
                <w:sz w:val="28"/>
                <w:szCs w:val="32"/>
              </w:rPr>
            </w:pPr>
            <w:r w:rsidRPr="001B0C0D">
              <w:rPr>
                <w:rFonts w:eastAsia="仿宋_GB2312"/>
                <w:noProof/>
              </w:rPr>
              <w:drawing>
                <wp:inline distT="0" distB="0" distL="0" distR="0" wp14:anchorId="2627A998" wp14:editId="5F633C1A">
                  <wp:extent cx="2755076" cy="2066805"/>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78447" cy="2084337"/>
                          </a:xfrm>
                          <a:prstGeom prst="rect">
                            <a:avLst/>
                          </a:prstGeom>
                          <a:noFill/>
                          <a:ln>
                            <a:noFill/>
                          </a:ln>
                        </pic:spPr>
                      </pic:pic>
                    </a:graphicData>
                  </a:graphic>
                </wp:inline>
              </w:drawing>
            </w:r>
          </w:p>
        </w:tc>
      </w:tr>
    </w:tbl>
    <w:p w14:paraId="2F815000" w14:textId="0DA83E9B" w:rsidR="00EB1BCD" w:rsidRDefault="00EB1BCD" w:rsidP="000F0192">
      <w:pPr>
        <w:pStyle w:val="ab"/>
        <w:widowControl/>
        <w:spacing w:line="360" w:lineRule="atLeast"/>
        <w:ind w:firstLineChars="200" w:firstLine="562"/>
        <w:rPr>
          <w:rFonts w:ascii="仿宋_GB2312" w:eastAsia="仿宋_GB2312" w:hAnsi="仿宋" w:cs="仿宋"/>
          <w:sz w:val="28"/>
          <w:szCs w:val="28"/>
        </w:rPr>
      </w:pPr>
      <w:bookmarkStart w:id="1" w:name="_GoBack"/>
      <w:bookmarkEnd w:id="1"/>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322C0F">
        <w:rPr>
          <w:rFonts w:ascii="仿宋_GB2312" w:eastAsia="仿宋_GB2312" w:hAnsi="仿宋" w:cs="仿宋" w:hint="eastAsia"/>
          <w:color w:val="000000"/>
          <w:sz w:val="28"/>
          <w:szCs w:val="28"/>
        </w:rPr>
        <w:t>8</w:t>
      </w:r>
      <w:r>
        <w:rPr>
          <w:rFonts w:ascii="仿宋_GB2312" w:eastAsia="仿宋_GB2312" w:hAnsi="仿宋" w:cs="仿宋" w:hint="eastAsia"/>
          <w:color w:val="000000"/>
          <w:sz w:val="28"/>
          <w:szCs w:val="28"/>
        </w:rPr>
        <w:t>】月【</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0A7676DC" w:rsidR="00EB1BCD" w:rsidRPr="00322C0F" w:rsidRDefault="00EB1BCD" w:rsidP="00322C0F">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322C0F"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E4DFB8" w14:textId="77777777" w:rsidR="006A2867" w:rsidRDefault="006A2867" w:rsidP="00E928AE">
      <w:r>
        <w:separator/>
      </w:r>
    </w:p>
  </w:endnote>
  <w:endnote w:type="continuationSeparator" w:id="0">
    <w:p w14:paraId="0B9F107C" w14:textId="77777777" w:rsidR="006A2867" w:rsidRDefault="006A2867"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B39FEF" w14:textId="77777777" w:rsidR="006A2867" w:rsidRDefault="006A2867" w:rsidP="00E928AE">
      <w:r>
        <w:separator/>
      </w:r>
    </w:p>
  </w:footnote>
  <w:footnote w:type="continuationSeparator" w:id="0">
    <w:p w14:paraId="6578048F" w14:textId="77777777" w:rsidR="006A2867" w:rsidRDefault="006A2867"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0F0192"/>
    <w:rsid w:val="00106B47"/>
    <w:rsid w:val="001112CE"/>
    <w:rsid w:val="00125111"/>
    <w:rsid w:val="00144DE2"/>
    <w:rsid w:val="0015049C"/>
    <w:rsid w:val="00152FFE"/>
    <w:rsid w:val="0015435C"/>
    <w:rsid w:val="00156792"/>
    <w:rsid w:val="00163727"/>
    <w:rsid w:val="001821D9"/>
    <w:rsid w:val="0018331F"/>
    <w:rsid w:val="00185D39"/>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22C0F"/>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2867"/>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101C99-F2D8-4B76-8944-F96A8187E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38</cp:revision>
  <cp:lastPrinted>2025-02-11T09:23:00Z</cp:lastPrinted>
  <dcterms:created xsi:type="dcterms:W3CDTF">2024-12-04T06:39:00Z</dcterms:created>
  <dcterms:modified xsi:type="dcterms:W3CDTF">2025-10-17T02:46:00Z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