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837988">
      <w:pPr>
        <w:jc w:val="center"/>
        <w:rPr>
          <w:rFonts w:hint="eastAsia" w:ascii="华文中宋" w:hAnsi="华文中宋" w:eastAsia="华文中宋"/>
          <w:bCs/>
          <w:sz w:val="44"/>
          <w:szCs w:val="44"/>
        </w:rPr>
      </w:pPr>
      <w:r>
        <w:rPr>
          <w:rFonts w:hint="eastAsia" w:ascii="华文中宋" w:hAnsi="华文中宋" w:eastAsia="华文中宋"/>
          <w:bCs/>
          <w:sz w:val="44"/>
          <w:szCs w:val="44"/>
        </w:rPr>
        <w:t>标的物介绍</w:t>
      </w:r>
    </w:p>
    <w:p w14:paraId="4CDA034A">
      <w:pPr>
        <w:rPr>
          <w:rFonts w:hint="eastAsia" w:ascii="SimHei" w:hAnsi="SimHei" w:eastAsia="SimHei"/>
          <w:sz w:val="32"/>
          <w:szCs w:val="32"/>
        </w:rPr>
      </w:pPr>
      <w:r>
        <w:rPr>
          <w:rFonts w:hint="eastAsia" w:ascii="SimHei" w:hAnsi="SimHei" w:eastAsia="SimHei"/>
          <w:sz w:val="32"/>
          <w:szCs w:val="32"/>
        </w:rPr>
        <w:t>一、基本情况</w:t>
      </w:r>
    </w:p>
    <w:p w14:paraId="083BA3EE">
      <w:pPr>
        <w:spacing w:line="360" w:lineRule="auto"/>
        <w:ind w:firstLine="708" w:firstLineChars="252"/>
        <w:rPr>
          <w:rFonts w:hint="eastAsia" w:ascii="仿宋" w:hAnsi="仿宋" w:eastAsia="仿宋"/>
          <w:sz w:val="28"/>
          <w:szCs w:val="24"/>
        </w:rPr>
      </w:pPr>
      <w:bookmarkStart w:id="0" w:name="_Hlk89712118"/>
      <w:r>
        <w:rPr>
          <w:rFonts w:hint="eastAsia" w:ascii="仿宋" w:hAnsi="仿宋" w:eastAsia="仿宋"/>
          <w:b/>
          <w:bCs/>
          <w:sz w:val="28"/>
          <w:szCs w:val="24"/>
          <w:u w:val="single"/>
        </w:rPr>
        <w:t>华融资产河北祈福乾悦公司等5户不良资产包东胜房地产单户债权</w:t>
      </w:r>
      <w:r>
        <w:rPr>
          <w:rFonts w:ascii="仿宋" w:hAnsi="仿宋" w:eastAsia="仿宋"/>
          <w:sz w:val="28"/>
          <w:szCs w:val="24"/>
          <w:u w:val="single"/>
        </w:rPr>
        <w:t>（下称“标的债权”），</w:t>
      </w:r>
      <w:r>
        <w:rPr>
          <w:rFonts w:hint="eastAsia" w:ascii="仿宋" w:hAnsi="仿宋" w:eastAsia="仿宋"/>
          <w:sz w:val="28"/>
          <w:szCs w:val="24"/>
        </w:rPr>
        <w:t>截至基准日</w:t>
      </w:r>
      <w:r>
        <w:rPr>
          <w:rFonts w:hint="eastAsia" w:ascii="仿宋" w:hAnsi="仿宋" w:eastAsia="仿宋"/>
          <w:sz w:val="28"/>
          <w:szCs w:val="24"/>
          <w:u w:val="single"/>
        </w:rPr>
        <w:t>2025年7月31日</w:t>
      </w:r>
      <w:r>
        <w:rPr>
          <w:rFonts w:ascii="仿宋" w:hAnsi="仿宋" w:eastAsia="仿宋"/>
          <w:sz w:val="28"/>
          <w:szCs w:val="24"/>
        </w:rPr>
        <w:t>，</w:t>
      </w:r>
      <w:r>
        <w:rPr>
          <w:rFonts w:hint="eastAsia" w:ascii="仿宋" w:hAnsi="仿宋" w:eastAsia="仿宋"/>
          <w:sz w:val="28"/>
          <w:szCs w:val="24"/>
        </w:rPr>
        <w:t>标的债权</w:t>
      </w:r>
      <w:r>
        <w:rPr>
          <w:rFonts w:hint="eastAsia" w:ascii="仿宋" w:hAnsi="仿宋" w:eastAsia="仿宋"/>
          <w:sz w:val="28"/>
          <w:szCs w:val="24"/>
          <w:lang w:val="en-US" w:eastAsia="zh-CN"/>
        </w:rPr>
        <w:t>金额</w:t>
      </w:r>
      <w:bookmarkStart w:id="1" w:name="_GoBack"/>
      <w:bookmarkEnd w:id="1"/>
      <w:r>
        <w:rPr>
          <w:rFonts w:hint="eastAsia" w:ascii="仿宋" w:hAnsi="仿宋" w:eastAsia="仿宋"/>
          <w:sz w:val="28"/>
          <w:szCs w:val="24"/>
        </w:rPr>
        <w:t>合计</w:t>
      </w:r>
      <w:r>
        <w:rPr>
          <w:rFonts w:hint="eastAsia" w:ascii="仿宋" w:hAnsi="仿宋" w:eastAsia="仿宋"/>
          <w:sz w:val="28"/>
          <w:szCs w:val="24"/>
          <w:u w:val="single"/>
        </w:rPr>
        <w:t xml:space="preserve">28,624.76 </w:t>
      </w:r>
      <w:r>
        <w:rPr>
          <w:rFonts w:hint="eastAsia" w:ascii="仿宋" w:hAnsi="仿宋" w:eastAsia="仿宋"/>
          <w:sz w:val="28"/>
          <w:szCs w:val="24"/>
        </w:rPr>
        <w:t>万</w:t>
      </w:r>
      <w:r>
        <w:rPr>
          <w:rFonts w:ascii="仿宋" w:hAnsi="仿宋" w:eastAsia="仿宋"/>
          <w:sz w:val="28"/>
          <w:szCs w:val="24"/>
        </w:rPr>
        <w:t>元。</w:t>
      </w:r>
      <w:bookmarkEnd w:id="0"/>
      <w:r>
        <w:rPr>
          <w:rFonts w:hint="eastAsia" w:ascii="仿宋" w:hAnsi="仿宋" w:eastAsia="仿宋"/>
          <w:sz w:val="28"/>
          <w:szCs w:val="24"/>
        </w:rPr>
        <w:t>具体情况如下：</w:t>
      </w:r>
    </w:p>
    <w:p w14:paraId="6344DB2B">
      <w:pPr>
        <w:spacing w:line="360" w:lineRule="auto"/>
        <w:jc w:val="right"/>
        <w:rPr>
          <w:rFonts w:hint="eastAsia" w:ascii="仿宋" w:hAnsi="仿宋" w:eastAsia="仿宋"/>
          <w:sz w:val="28"/>
          <w:szCs w:val="24"/>
        </w:rPr>
      </w:pPr>
      <w:r>
        <w:rPr>
          <w:rFonts w:hint="eastAsia" w:ascii="仿宋" w:hAnsi="仿宋" w:eastAsia="仿宋"/>
          <w:sz w:val="28"/>
          <w:szCs w:val="24"/>
        </w:rPr>
        <w:t>单位：人民币/万元</w:t>
      </w:r>
    </w:p>
    <w:tbl>
      <w:tblPr>
        <w:tblStyle w:val="7"/>
        <w:tblW w:w="56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987"/>
        <w:gridCol w:w="794"/>
        <w:gridCol w:w="1079"/>
        <w:gridCol w:w="1079"/>
        <w:gridCol w:w="3639"/>
        <w:gridCol w:w="1145"/>
        <w:gridCol w:w="994"/>
      </w:tblGrid>
      <w:tr w14:paraId="6B2CD071">
        <w:trPr>
          <w:trHeight w:val="614" w:hRule="atLeast"/>
          <w:tblHeader/>
          <w:jc w:val="center"/>
        </w:trPr>
        <w:tc>
          <w:tcPr>
            <w:tcW w:w="511" w:type="pct"/>
            <w:shd w:val="clear" w:color="auto" w:fill="FFFFFF"/>
            <w:vAlign w:val="center"/>
          </w:tcPr>
          <w:p w14:paraId="43BB6CDC">
            <w:pPr>
              <w:jc w:val="center"/>
              <w:rPr>
                <w:rFonts w:hint="eastAsia" w:ascii="仿宋" w:hAnsi="仿宋" w:eastAsia="仿宋" w:cs="Times New Roman"/>
                <w:b/>
                <w:szCs w:val="21"/>
              </w:rPr>
            </w:pPr>
            <w:r>
              <w:rPr>
                <w:rFonts w:hint="eastAsia" w:ascii="仿宋" w:hAnsi="仿宋" w:eastAsia="仿宋" w:cs="Times New Roman"/>
                <w:b/>
                <w:szCs w:val="21"/>
              </w:rPr>
              <w:t>借款人名称</w:t>
            </w:r>
          </w:p>
        </w:tc>
        <w:tc>
          <w:tcPr>
            <w:tcW w:w="392" w:type="pct"/>
            <w:tcBorders>
              <w:bottom w:val="single" w:color="auto" w:sz="4" w:space="0"/>
            </w:tcBorders>
            <w:shd w:val="clear" w:color="auto" w:fill="FFFFFF"/>
            <w:vAlign w:val="center"/>
          </w:tcPr>
          <w:p w14:paraId="084C1A21">
            <w:pPr>
              <w:jc w:val="center"/>
              <w:rPr>
                <w:rFonts w:hint="eastAsia" w:ascii="仿宋" w:hAnsi="仿宋" w:eastAsia="仿宋" w:cs="Times New Roman"/>
                <w:b/>
                <w:szCs w:val="21"/>
              </w:rPr>
            </w:pPr>
            <w:r>
              <w:rPr>
                <w:rFonts w:hint="eastAsia" w:ascii="仿宋" w:hAnsi="仿宋" w:eastAsia="仿宋" w:cs="Times New Roman"/>
                <w:b/>
                <w:szCs w:val="21"/>
              </w:rPr>
              <w:t>本金</w:t>
            </w:r>
          </w:p>
        </w:tc>
        <w:tc>
          <w:tcPr>
            <w:tcW w:w="558" w:type="pct"/>
            <w:tcBorders>
              <w:bottom w:val="single" w:color="auto" w:sz="4" w:space="0"/>
            </w:tcBorders>
            <w:shd w:val="clear" w:color="auto" w:fill="FFFFFF"/>
            <w:vAlign w:val="center"/>
          </w:tcPr>
          <w:p w14:paraId="6A930E2C">
            <w:pPr>
              <w:jc w:val="center"/>
              <w:rPr>
                <w:rFonts w:hint="eastAsia" w:ascii="仿宋" w:hAnsi="仿宋" w:eastAsia="仿宋" w:cs="Times New Roman"/>
                <w:b/>
                <w:szCs w:val="21"/>
              </w:rPr>
            </w:pPr>
            <w:r>
              <w:rPr>
                <w:rFonts w:hint="eastAsia" w:ascii="仿宋" w:hAnsi="仿宋" w:eastAsia="仿宋" w:cs="Times New Roman"/>
                <w:b/>
                <w:szCs w:val="21"/>
              </w:rPr>
              <w:t>利息</w:t>
            </w:r>
          </w:p>
        </w:tc>
        <w:tc>
          <w:tcPr>
            <w:tcW w:w="558" w:type="pct"/>
            <w:tcBorders>
              <w:bottom w:val="single" w:color="auto" w:sz="4" w:space="0"/>
            </w:tcBorders>
            <w:shd w:val="clear" w:color="auto" w:fill="FFFFFF"/>
            <w:vAlign w:val="center"/>
          </w:tcPr>
          <w:p w14:paraId="269391F1">
            <w:pPr>
              <w:jc w:val="center"/>
              <w:rPr>
                <w:rFonts w:hint="eastAsia" w:ascii="仿宋" w:hAnsi="仿宋" w:eastAsia="仿宋" w:cs="Times New Roman"/>
                <w:b/>
                <w:szCs w:val="21"/>
              </w:rPr>
            </w:pPr>
            <w:r>
              <w:rPr>
                <w:rFonts w:hint="eastAsia" w:ascii="仿宋" w:hAnsi="仿宋" w:eastAsia="仿宋" w:cs="Times New Roman"/>
                <w:b/>
                <w:szCs w:val="21"/>
              </w:rPr>
              <w:t>债权</w:t>
            </w:r>
          </w:p>
          <w:p w14:paraId="065289DE">
            <w:pPr>
              <w:jc w:val="center"/>
              <w:rPr>
                <w:rFonts w:hint="eastAsia" w:ascii="仿宋" w:hAnsi="仿宋" w:eastAsia="仿宋" w:cs="Times New Roman"/>
                <w:b/>
                <w:szCs w:val="21"/>
              </w:rPr>
            </w:pPr>
            <w:r>
              <w:rPr>
                <w:rFonts w:hint="eastAsia" w:ascii="仿宋" w:hAnsi="仿宋" w:eastAsia="仿宋" w:cs="Times New Roman"/>
                <w:b/>
                <w:szCs w:val="21"/>
              </w:rPr>
              <w:t>金额</w:t>
            </w:r>
          </w:p>
        </w:tc>
        <w:tc>
          <w:tcPr>
            <w:tcW w:w="1875" w:type="pct"/>
            <w:shd w:val="clear" w:color="auto" w:fill="FFFFFF"/>
            <w:vAlign w:val="center"/>
          </w:tcPr>
          <w:p w14:paraId="277FCFC8">
            <w:pPr>
              <w:jc w:val="center"/>
              <w:rPr>
                <w:rFonts w:hint="eastAsia" w:ascii="仿宋" w:hAnsi="仿宋" w:eastAsia="仿宋" w:cs="Times New Roman"/>
                <w:b/>
                <w:szCs w:val="21"/>
              </w:rPr>
            </w:pPr>
            <w:r>
              <w:rPr>
                <w:rFonts w:hint="eastAsia" w:ascii="仿宋" w:hAnsi="仿宋" w:eastAsia="仿宋" w:cs="Times New Roman"/>
                <w:b/>
                <w:szCs w:val="21"/>
              </w:rPr>
              <w:t>抵质押物情况</w:t>
            </w:r>
          </w:p>
        </w:tc>
        <w:tc>
          <w:tcPr>
            <w:tcW w:w="592" w:type="pct"/>
            <w:shd w:val="clear" w:color="auto" w:fill="FFFFFF"/>
            <w:vAlign w:val="center"/>
          </w:tcPr>
          <w:p w14:paraId="6D530618">
            <w:pPr>
              <w:jc w:val="center"/>
              <w:rPr>
                <w:rFonts w:hint="eastAsia" w:ascii="仿宋" w:hAnsi="仿宋" w:eastAsia="仿宋" w:cs="Times New Roman"/>
                <w:b/>
                <w:szCs w:val="21"/>
              </w:rPr>
            </w:pPr>
            <w:r>
              <w:rPr>
                <w:rFonts w:hint="eastAsia" w:ascii="仿宋" w:hAnsi="仿宋" w:eastAsia="仿宋" w:cs="Times New Roman"/>
                <w:b/>
                <w:szCs w:val="21"/>
              </w:rPr>
              <w:t>保证人</w:t>
            </w:r>
          </w:p>
        </w:tc>
        <w:tc>
          <w:tcPr>
            <w:tcW w:w="514" w:type="pct"/>
            <w:shd w:val="clear" w:color="auto" w:fill="FFFFFF"/>
            <w:vAlign w:val="center"/>
          </w:tcPr>
          <w:p w14:paraId="251DA9C7">
            <w:pPr>
              <w:jc w:val="center"/>
              <w:rPr>
                <w:rFonts w:hint="eastAsia" w:ascii="仿宋" w:hAnsi="仿宋" w:eastAsia="仿宋" w:cs="Times New Roman"/>
                <w:b/>
                <w:szCs w:val="21"/>
              </w:rPr>
            </w:pPr>
            <w:r>
              <w:rPr>
                <w:rFonts w:hint="eastAsia" w:ascii="仿宋" w:hAnsi="仿宋" w:eastAsia="仿宋" w:cs="Times New Roman"/>
                <w:b/>
                <w:szCs w:val="21"/>
              </w:rPr>
              <w:t>诉讼</w:t>
            </w:r>
          </w:p>
          <w:p w14:paraId="7E06EFDC">
            <w:pPr>
              <w:jc w:val="center"/>
              <w:rPr>
                <w:rFonts w:hint="eastAsia" w:ascii="仿宋" w:hAnsi="仿宋" w:eastAsia="仿宋" w:cs="Times New Roman"/>
                <w:b/>
                <w:szCs w:val="21"/>
              </w:rPr>
            </w:pPr>
            <w:r>
              <w:rPr>
                <w:rFonts w:hint="eastAsia" w:ascii="仿宋" w:hAnsi="仿宋" w:eastAsia="仿宋" w:cs="Times New Roman"/>
                <w:b/>
                <w:szCs w:val="21"/>
              </w:rPr>
              <w:t>情况</w:t>
            </w:r>
          </w:p>
        </w:tc>
      </w:tr>
      <w:tr w14:paraId="6CEE80FC">
        <w:trPr>
          <w:trHeight w:val="454" w:hRule="atLeast"/>
          <w:jc w:val="center"/>
        </w:trPr>
        <w:tc>
          <w:tcPr>
            <w:tcW w:w="966" w:type="dxa"/>
            <w:shd w:val="clear" w:color="auto" w:fill="FFFFFF"/>
            <w:vAlign w:val="center"/>
          </w:tcPr>
          <w:p w14:paraId="31457344">
            <w:pPr>
              <w:jc w:val="center"/>
              <w:rPr>
                <w:rFonts w:hint="eastAsia" w:ascii="仿宋" w:hAnsi="仿宋" w:eastAsia="仿宋" w:cs="Times New Roman"/>
                <w:szCs w:val="21"/>
              </w:rPr>
            </w:pPr>
            <w:r>
              <w:rPr>
                <w:rFonts w:hint="eastAsia" w:ascii="Times New Roman" w:hAnsi="Times New Roman" w:eastAsia="仿宋_GB2312" w:cs="Times New Roman"/>
                <w:szCs w:val="21"/>
              </w:rPr>
              <w:t>东胜房地产开发集团有限公司</w:t>
            </w:r>
          </w:p>
        </w:tc>
        <w:tc>
          <w:tcPr>
            <w:tcW w:w="742" w:type="dxa"/>
            <w:tcBorders>
              <w:top w:val="single" w:color="auto" w:sz="4" w:space="0"/>
              <w:left w:val="nil"/>
              <w:bottom w:val="single" w:color="auto" w:sz="4" w:space="0"/>
              <w:right w:val="single" w:color="auto" w:sz="4" w:space="0"/>
            </w:tcBorders>
            <w:shd w:val="clear" w:color="auto" w:fill="auto"/>
            <w:vAlign w:val="center"/>
          </w:tcPr>
          <w:p w14:paraId="5063C70D">
            <w:pPr>
              <w:jc w:val="center"/>
              <w:rPr>
                <w:rFonts w:hint="eastAsia" w:ascii="仿宋" w:hAnsi="仿宋" w:eastAsia="仿宋" w:cs="Times New Roman"/>
                <w:szCs w:val="21"/>
              </w:rPr>
            </w:pPr>
            <w:r>
              <w:rPr>
                <w:rFonts w:hint="eastAsia" w:ascii="Times New Roman" w:hAnsi="Times New Roman" w:eastAsia="仿宋_GB2312" w:cs="Times New Roman"/>
                <w:kern w:val="0"/>
                <w:szCs w:val="21"/>
              </w:rPr>
              <w:t>19</w:t>
            </w:r>
            <w:r>
              <w:rPr>
                <w:rFonts w:ascii="Times New Roman" w:hAnsi="Times New Roman" w:eastAsia="仿宋_GB2312" w:cs="Times New Roman"/>
                <w:kern w:val="0"/>
                <w:szCs w:val="21"/>
              </w:rPr>
              <w:t>,</w:t>
            </w:r>
            <w:r>
              <w:rPr>
                <w:rFonts w:hint="eastAsia" w:ascii="Times New Roman" w:hAnsi="Times New Roman" w:eastAsia="仿宋_GB2312" w:cs="Times New Roman"/>
                <w:kern w:val="0"/>
                <w:szCs w:val="21"/>
              </w:rPr>
              <w:t>900</w:t>
            </w:r>
          </w:p>
        </w:tc>
        <w:tc>
          <w:tcPr>
            <w:tcW w:w="1056" w:type="dxa"/>
            <w:tcBorders>
              <w:top w:val="single" w:color="auto" w:sz="4" w:space="0"/>
              <w:left w:val="single" w:color="auto" w:sz="4" w:space="0"/>
              <w:bottom w:val="single" w:color="auto" w:sz="4" w:space="0"/>
              <w:right w:val="single" w:color="auto" w:sz="4" w:space="0"/>
            </w:tcBorders>
            <w:shd w:val="clear" w:color="auto" w:fill="auto"/>
            <w:vAlign w:val="center"/>
          </w:tcPr>
          <w:p w14:paraId="1ED82547">
            <w:pPr>
              <w:jc w:val="center"/>
              <w:rPr>
                <w:rFonts w:hint="eastAsia" w:ascii="仿宋" w:hAnsi="仿宋" w:eastAsia="仿宋"/>
              </w:rPr>
            </w:pPr>
            <w:r>
              <w:rPr>
                <w:rFonts w:hint="eastAsia" w:ascii="Times New Roman" w:hAnsi="Times New Roman" w:eastAsia="仿宋_GB2312" w:cs="Times New Roman"/>
                <w:szCs w:val="21"/>
              </w:rPr>
              <w:t xml:space="preserve">8,724.76 </w:t>
            </w:r>
          </w:p>
        </w:tc>
        <w:tc>
          <w:tcPr>
            <w:tcW w:w="1056" w:type="dxa"/>
            <w:tcBorders>
              <w:top w:val="single" w:color="auto" w:sz="4" w:space="0"/>
              <w:left w:val="single" w:color="auto" w:sz="4" w:space="0"/>
              <w:bottom w:val="single" w:color="auto" w:sz="4" w:space="0"/>
              <w:right w:val="nil"/>
            </w:tcBorders>
            <w:shd w:val="clear" w:color="auto" w:fill="auto"/>
            <w:vAlign w:val="center"/>
          </w:tcPr>
          <w:p w14:paraId="651AC951">
            <w:pPr>
              <w:jc w:val="center"/>
              <w:rPr>
                <w:rFonts w:hint="eastAsia" w:ascii="仿宋" w:hAnsi="仿宋" w:eastAsia="仿宋"/>
              </w:rPr>
            </w:pPr>
            <w:r>
              <w:rPr>
                <w:rFonts w:hint="eastAsia" w:ascii="Times New Roman" w:hAnsi="Times New Roman" w:eastAsia="仿宋_GB2312" w:cs="Times New Roman"/>
                <w:szCs w:val="21"/>
              </w:rPr>
              <w:t xml:space="preserve">28,624.76 </w:t>
            </w:r>
          </w:p>
        </w:tc>
        <w:tc>
          <w:tcPr>
            <w:tcW w:w="3547" w:type="dxa"/>
            <w:tcBorders>
              <w:top w:val="single" w:color="auto" w:sz="4" w:space="0"/>
              <w:left w:val="single" w:color="auto" w:sz="4" w:space="0"/>
              <w:bottom w:val="single" w:color="auto" w:sz="4" w:space="0"/>
              <w:right w:val="single" w:color="auto" w:sz="4" w:space="0"/>
            </w:tcBorders>
            <w:shd w:val="clear" w:color="auto" w:fill="auto"/>
            <w:vAlign w:val="center"/>
          </w:tcPr>
          <w:p w14:paraId="3BB7B193">
            <w:pPr>
              <w:jc w:val="center"/>
              <w:rPr>
                <w:rFonts w:hint="eastAsia" w:ascii="仿宋" w:hAnsi="仿宋" w:eastAsia="仿宋" w:cs="Times New Roman"/>
                <w:szCs w:val="21"/>
              </w:rPr>
            </w:pPr>
            <w:r>
              <w:rPr>
                <w:rFonts w:hint="eastAsia" w:ascii="Times New Roman" w:hAnsi="Times New Roman" w:eastAsia="仿宋_GB2312" w:cs="Times New Roman"/>
                <w:szCs w:val="21"/>
              </w:rPr>
              <w:t>河北祈福乾悦房地产开发有限公司名下位于石家庄长安区建华北大街东、光华路北侧紫晶悦城大商业4号土地抵押，面积22,633.66㎡</w:t>
            </w:r>
            <w:r>
              <w:rPr>
                <w:rFonts w:hint="eastAsia" w:ascii="Times New Roman" w:hAnsi="Times New Roman" w:eastAsia="仿宋_GB2312" w:cs="Times New Roman"/>
                <w:szCs w:val="21"/>
              </w:rPr>
              <w:tab/>
            </w:r>
          </w:p>
        </w:tc>
        <w:tc>
          <w:tcPr>
            <w:tcW w:w="1120" w:type="dxa"/>
            <w:tcBorders>
              <w:top w:val="single" w:color="auto" w:sz="4" w:space="0"/>
              <w:left w:val="nil"/>
              <w:bottom w:val="single" w:color="auto" w:sz="4" w:space="0"/>
              <w:right w:val="single" w:color="auto" w:sz="4" w:space="0"/>
            </w:tcBorders>
            <w:shd w:val="clear" w:color="auto" w:fill="auto"/>
            <w:vAlign w:val="center"/>
          </w:tcPr>
          <w:p w14:paraId="11242926">
            <w:pPr>
              <w:jc w:val="center"/>
              <w:rPr>
                <w:rFonts w:hint="eastAsia" w:ascii="仿宋" w:hAnsi="仿宋" w:eastAsia="仿宋" w:cs="Times New Roman"/>
                <w:szCs w:val="21"/>
              </w:rPr>
            </w:pPr>
            <w:r>
              <w:rPr>
                <w:rFonts w:hint="eastAsia" w:ascii="Times New Roman" w:hAnsi="Times New Roman" w:eastAsia="仿宋_GB2312" w:cs="Times New Roman"/>
                <w:szCs w:val="21"/>
              </w:rPr>
              <w:t>海南乾星文化旅游集团有限公司，石保栋、刘文鸽夫妇，石家庄玉玺房地产开发有限公司，河北丰朗房地产开发有限公司，张家口拓达房地产开发有限公司，张家口乾玺房地产有限公司提供连带责任担保</w:t>
            </w:r>
          </w:p>
        </w:tc>
        <w:tc>
          <w:tcPr>
            <w:tcW w:w="972" w:type="dxa"/>
            <w:tcBorders>
              <w:top w:val="single" w:color="auto" w:sz="4" w:space="0"/>
              <w:left w:val="nil"/>
              <w:bottom w:val="single" w:color="auto" w:sz="4" w:space="0"/>
              <w:right w:val="single" w:color="auto" w:sz="4" w:space="0"/>
            </w:tcBorders>
            <w:shd w:val="clear" w:color="auto" w:fill="auto"/>
            <w:vAlign w:val="center"/>
          </w:tcPr>
          <w:p w14:paraId="334B5AFE">
            <w:pPr>
              <w:jc w:val="center"/>
              <w:rPr>
                <w:rFonts w:hint="eastAsia" w:ascii="仿宋" w:hAnsi="仿宋" w:eastAsia="仿宋_GB2312" w:cs="Times New Roman"/>
                <w:szCs w:val="21"/>
                <w:lang w:eastAsia="zh-CN"/>
              </w:rPr>
            </w:pPr>
            <w:r>
              <w:rPr>
                <w:rFonts w:hint="eastAsia" w:ascii="Times New Roman" w:hAnsi="Times New Roman" w:eastAsia="仿宋_GB2312" w:cs="Times New Roman"/>
                <w:szCs w:val="21"/>
              </w:rPr>
              <w:t>一审已判决，二审未</w:t>
            </w:r>
            <w:r>
              <w:rPr>
                <w:rFonts w:hint="eastAsia" w:ascii="Times New Roman" w:hAnsi="Times New Roman" w:eastAsia="仿宋_GB2312" w:cs="Times New Roman"/>
                <w:szCs w:val="21"/>
                <w:lang w:val="en-US" w:eastAsia="zh-CN"/>
              </w:rPr>
              <w:t>开庭</w:t>
            </w:r>
          </w:p>
        </w:tc>
      </w:tr>
    </w:tbl>
    <w:p w14:paraId="6E6E0563">
      <w:pPr>
        <w:spacing w:line="360" w:lineRule="auto"/>
        <w:ind w:firstLine="560" w:firstLineChars="200"/>
        <w:rPr>
          <w:rFonts w:hint="eastAsia" w:ascii="仿宋" w:hAnsi="仿宋" w:eastAsia="仿宋"/>
          <w:sz w:val="28"/>
          <w:szCs w:val="24"/>
        </w:rPr>
      </w:pPr>
    </w:p>
    <w:p w14:paraId="059793A6">
      <w:pPr>
        <w:rPr>
          <w:rFonts w:hint="eastAsia" w:ascii="SimHei" w:hAnsi="SimHei" w:eastAsia="SimHei"/>
          <w:sz w:val="32"/>
          <w:szCs w:val="32"/>
        </w:rPr>
      </w:pPr>
      <w:r>
        <w:rPr>
          <w:rFonts w:hint="eastAsia" w:ascii="SimHei" w:hAnsi="SimHei" w:eastAsia="SimHei"/>
          <w:sz w:val="32"/>
          <w:szCs w:val="32"/>
        </w:rPr>
        <w:t>二、资产介绍</w:t>
      </w:r>
    </w:p>
    <w:p w14:paraId="75F27A19">
      <w:pPr>
        <w:ind w:firstLine="640"/>
        <w:rPr>
          <w:rFonts w:hint="eastAsia" w:ascii="仿宋_GB2312" w:hAnsi="仿宋" w:eastAsia="仿宋_GB2312"/>
          <w:color w:val="000000"/>
          <w:sz w:val="28"/>
          <w:szCs w:val="28"/>
        </w:rPr>
      </w:pPr>
      <w:r>
        <w:rPr>
          <w:rFonts w:hint="eastAsia" w:ascii="仿宋_GB2312" w:hAnsi="仿宋" w:eastAsia="仿宋_GB2312"/>
          <w:color w:val="000000"/>
          <w:sz w:val="28"/>
          <w:szCs w:val="28"/>
        </w:rPr>
        <w:t>抵押物位于石家庄长安区建华北大街东、光华路北侧紫晶悦城大商业4号土地，地块面积为22,633.66㎡，土地性质为其他商服用地，容积率为5.5，截止日期为2054年7月29日</w:t>
      </w:r>
      <w:r>
        <w:rPr>
          <w:rFonts w:hint="eastAsia" w:ascii="仿宋_GB2312" w:hAnsi="仿宋" w:eastAsia="仿宋_GB2312"/>
          <w:color w:val="000000"/>
          <w:sz w:val="28"/>
          <w:szCs w:val="28"/>
          <w:lang w:eastAsia="zh-CN"/>
        </w:rPr>
        <w:t>。</w:t>
      </w:r>
      <w:r>
        <w:rPr>
          <w:rFonts w:hint="eastAsia" w:ascii="仿宋_GB2312" w:hAnsi="仿宋" w:eastAsia="仿宋_GB2312"/>
          <w:color w:val="000000"/>
          <w:sz w:val="28"/>
          <w:szCs w:val="28"/>
        </w:rPr>
        <w:t>目前状态为平地，尚未报建开发。</w:t>
      </w:r>
    </w:p>
    <w:p w14:paraId="59AE57A5">
      <w:pPr>
        <w:ind w:firstLine="640"/>
        <w:rPr>
          <w:rFonts w:ascii="Times New Roman" w:hAnsi="Times New Roman" w:eastAsia="仿宋_GB2312" w:cs="Times New Roman"/>
          <w:sz w:val="28"/>
          <w:szCs w:val="32"/>
        </w:rPr>
      </w:pPr>
      <w:r>
        <w:rPr>
          <w:rFonts w:hint="eastAsia" w:ascii="Times New Roman" w:hAnsi="Times New Roman" w:eastAsia="仿宋_GB2312" w:cs="Times New Roman"/>
          <w:sz w:val="28"/>
          <w:szCs w:val="32"/>
        </w:rPr>
        <w:t>抵押物属于石家庄二环路内，位于建华北大街和光华路交汇处，地理位置优越，抵押物为“东胜华彩城”商服配套土地，以抵押为中心，有众诚百合园、和华家园、和平时光家园等住宅群，一路之隔有红星美凯龙和平商场、居然建材广场、平和苑商务大厦等商服配套，加上本身楼盘体量足够大，入住率高，小区内幼儿园、小学到中学，为业主提供一站式的名校教育配套，周边居住生活气息浓郁，商业氛围好，配套设施完善，为商业开发提供很好支撑。</w:t>
      </w:r>
    </w:p>
    <w:p w14:paraId="12B5296C">
      <w:pPr>
        <w:rPr>
          <w:rFonts w:ascii="仿宋" w:hAnsi="仿宋" w:eastAsia="仿宋" w:cs="Times New Roman"/>
          <w:bCs/>
          <w:kern w:val="0"/>
          <w:sz w:val="28"/>
          <w:szCs w:val="32"/>
        </w:rPr>
      </w:pPr>
    </w:p>
    <w:p w14:paraId="5B6DDFE9">
      <w:pPr>
        <w:pStyle w:val="16"/>
        <w:widowControl/>
        <w:spacing w:line="360" w:lineRule="atLeast"/>
        <w:ind w:firstLine="0" w:firstLineChars="0"/>
        <w:rPr>
          <w:rFonts w:ascii="SimHei" w:hAnsi="SimHei" w:eastAsia="SimHei" w:cstheme="minorBidi"/>
          <w:sz w:val="32"/>
          <w:szCs w:val="32"/>
        </w:rPr>
      </w:pPr>
      <w:r>
        <w:rPr>
          <w:rFonts w:hint="eastAsia" w:ascii="SimHei" w:hAnsi="SimHei" w:eastAsia="SimHei" w:cstheme="minorBidi"/>
          <w:sz w:val="32"/>
          <w:szCs w:val="32"/>
        </w:rPr>
        <w:t>三、周边照片</w:t>
      </w:r>
    </w:p>
    <w:tbl>
      <w:tblPr>
        <w:tblStyle w:val="17"/>
        <w:tblW w:w="486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1"/>
      </w:tblGrid>
      <w:tr w14:paraId="0EB0E4E0">
        <w:trPr>
          <w:trHeight w:val="3507" w:hRule="atLeast"/>
        </w:trPr>
        <w:tc>
          <w:tcPr>
            <w:tcW w:w="5000" w:type="pct"/>
            <w:tcBorders>
              <w:top w:val="single" w:color="auto" w:sz="4" w:space="0"/>
              <w:left w:val="single" w:color="auto" w:sz="4" w:space="0"/>
              <w:bottom w:val="single" w:color="auto" w:sz="4" w:space="0"/>
              <w:right w:val="single" w:color="auto" w:sz="4" w:space="0"/>
            </w:tcBorders>
            <w:vAlign w:val="center"/>
          </w:tcPr>
          <w:p w14:paraId="6D99FC99">
            <w:pPr>
              <w:jc w:val="center"/>
              <w:rPr>
                <w:rFonts w:hint="eastAsia" w:ascii="仿宋" w:hAnsi="仿宋" w:eastAsia="仿宋" w:cs="Times New Roman"/>
                <w:kern w:val="0"/>
                <w:sz w:val="28"/>
                <w:szCs w:val="32"/>
                <w:lang w:eastAsia="zh-CN"/>
              </w:rPr>
            </w:pPr>
            <w:r>
              <w:drawing>
                <wp:inline distT="0" distB="0" distL="114300" distR="114300">
                  <wp:extent cx="3064510" cy="2019935"/>
                  <wp:effectExtent l="0" t="0" r="8890" b="12065"/>
                  <wp:docPr id="3" name="图片 1" descr="Screenshot 2024-07-07 at 7.50.12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Screenshot 2024-07-07 at 7.50.12 PM"/>
                          <pic:cNvPicPr>
                            <a:picLocks noChangeAspect="1"/>
                          </pic:cNvPicPr>
                        </pic:nvPicPr>
                        <pic:blipFill>
                          <a:blip r:embed="rId4"/>
                          <a:stretch>
                            <a:fillRect/>
                          </a:stretch>
                        </pic:blipFill>
                        <pic:spPr>
                          <a:xfrm>
                            <a:off x="0" y="0"/>
                            <a:ext cx="3064510" cy="2019935"/>
                          </a:xfrm>
                          <a:prstGeom prst="rect">
                            <a:avLst/>
                          </a:prstGeom>
                        </pic:spPr>
                      </pic:pic>
                    </a:graphicData>
                  </a:graphic>
                </wp:inline>
              </w:drawing>
            </w:r>
          </w:p>
        </w:tc>
      </w:tr>
      <w:tr w14:paraId="2A5EFBEE">
        <w:tc>
          <w:tcPr>
            <w:tcW w:w="5000" w:type="pct"/>
            <w:tcBorders>
              <w:top w:val="single" w:color="auto" w:sz="4" w:space="0"/>
              <w:left w:val="single" w:color="auto" w:sz="4" w:space="0"/>
              <w:bottom w:val="single" w:color="auto" w:sz="4" w:space="0"/>
              <w:right w:val="single" w:color="auto" w:sz="4" w:space="0"/>
            </w:tcBorders>
            <w:vAlign w:val="center"/>
          </w:tcPr>
          <w:p w14:paraId="11952064">
            <w:pPr>
              <w:jc w:val="center"/>
              <w:rPr>
                <w:rFonts w:hint="eastAsia" w:ascii="仿宋" w:hAnsi="仿宋" w:eastAsia="仿宋" w:cs="Times New Roman"/>
                <w:kern w:val="0"/>
                <w:sz w:val="28"/>
                <w:szCs w:val="32"/>
                <w:lang w:eastAsia="zh-CN"/>
              </w:rPr>
            </w:pPr>
            <w:r>
              <w:rPr>
                <w:rFonts w:hint="eastAsia" w:ascii="仿宋" w:hAnsi="仿宋" w:eastAsia="仿宋" w:cs="Times New Roman"/>
                <w:kern w:val="0"/>
                <w:sz w:val="28"/>
                <w:szCs w:val="32"/>
                <w:lang w:eastAsia="zh-CN"/>
              </w:rPr>
              <w:drawing>
                <wp:inline distT="0" distB="0" distL="114300" distR="114300">
                  <wp:extent cx="4759325" cy="2677160"/>
                  <wp:effectExtent l="0" t="0" r="15875" b="15240"/>
                  <wp:docPr id="2" name="图片 2" descr="/Users/oliviahuang/Library/Containers/com.kingsoft.wpsoffice.mac/Data/tmp/picturecompress_20250611092509/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Users/oliviahuang/Library/Containers/com.kingsoft.wpsoffice.mac/Data/tmp/picturecompress_20250611092509/output_1.pngoutput_1"/>
                          <pic:cNvPicPr>
                            <a:picLocks noChangeAspect="1"/>
                          </pic:cNvPicPr>
                        </pic:nvPicPr>
                        <pic:blipFill>
                          <a:blip r:embed="rId5"/>
                          <a:stretch>
                            <a:fillRect/>
                          </a:stretch>
                        </pic:blipFill>
                        <pic:spPr>
                          <a:xfrm>
                            <a:off x="0" y="0"/>
                            <a:ext cx="4759325" cy="2677160"/>
                          </a:xfrm>
                          <a:prstGeom prst="rect">
                            <a:avLst/>
                          </a:prstGeom>
                        </pic:spPr>
                      </pic:pic>
                    </a:graphicData>
                  </a:graphic>
                </wp:inline>
              </w:drawing>
            </w:r>
          </w:p>
        </w:tc>
      </w:tr>
    </w:tbl>
    <w:p w14:paraId="5CDE3218">
      <w:pPr>
        <w:rPr>
          <w:rFonts w:hint="eastAsia" w:ascii="仿宋" w:hAnsi="仿宋" w:eastAsia="仿宋" w:cs="Times New Roman"/>
          <w:bCs/>
          <w:kern w:val="0"/>
          <w:sz w:val="28"/>
          <w:szCs w:val="32"/>
        </w:rPr>
      </w:pPr>
    </w:p>
    <w:p w14:paraId="2F815000">
      <w:pPr>
        <w:pStyle w:val="16"/>
        <w:widowControl/>
        <w:spacing w:line="360" w:lineRule="atLeast"/>
        <w:ind w:firstLine="703"/>
        <w:rPr>
          <w:rFonts w:hint="eastAsia" w:ascii="仿宋_GB2312" w:hAnsi="仿宋" w:eastAsia="仿宋_GB2312" w:cs="仿宋"/>
          <w:sz w:val="28"/>
          <w:szCs w:val="28"/>
        </w:rPr>
      </w:pPr>
      <w:r>
        <w:rPr>
          <w:rFonts w:hint="eastAsia" w:ascii="仿宋_GB2312" w:hAnsi="仿宋" w:eastAsia="仿宋_GB2312" w:cs="仿宋"/>
          <w:b/>
          <w:bCs/>
          <w:color w:val="000000"/>
          <w:sz w:val="28"/>
          <w:szCs w:val="28"/>
        </w:rPr>
        <w:t>注：</w:t>
      </w:r>
      <w:r>
        <w:rPr>
          <w:rFonts w:hint="eastAsia" w:ascii="仿宋_GB2312" w:hAnsi="仿宋" w:eastAsia="仿宋_GB2312" w:cs="仿宋"/>
          <w:color w:val="000000"/>
          <w:sz w:val="28"/>
          <w:szCs w:val="28"/>
        </w:rPr>
        <w:t>1.本清单仅列示截至【</w:t>
      </w:r>
      <w:r>
        <w:rPr>
          <w:rFonts w:hint="eastAsia" w:ascii="仿宋_GB2312" w:hAnsi="仿宋" w:eastAsia="仿宋_GB2312" w:cs="仿宋"/>
          <w:color w:val="000000"/>
          <w:sz w:val="28"/>
          <w:szCs w:val="28"/>
          <w:lang w:val="en-US" w:eastAsia="zh-CN"/>
        </w:rPr>
        <w:t>2025</w:t>
      </w:r>
      <w:r>
        <w:rPr>
          <w:rFonts w:hint="eastAsia" w:ascii="仿宋_GB2312" w:hAnsi="仿宋" w:eastAsia="仿宋_GB2312" w:cs="仿宋"/>
          <w:color w:val="000000"/>
          <w:sz w:val="28"/>
          <w:szCs w:val="28"/>
        </w:rPr>
        <w:t>】年【</w:t>
      </w:r>
      <w:r>
        <w:rPr>
          <w:rFonts w:hint="eastAsia" w:ascii="仿宋_GB2312" w:hAnsi="仿宋" w:eastAsia="仿宋_GB2312" w:cs="仿宋"/>
          <w:color w:val="000000"/>
          <w:sz w:val="28"/>
          <w:szCs w:val="28"/>
          <w:lang w:val="en-US" w:eastAsia="zh-CN"/>
        </w:rPr>
        <w:t>7</w:t>
      </w:r>
      <w:r>
        <w:rPr>
          <w:rFonts w:hint="eastAsia" w:ascii="仿宋_GB2312" w:hAnsi="仿宋" w:eastAsia="仿宋_GB2312" w:cs="仿宋"/>
          <w:color w:val="000000"/>
          <w:sz w:val="28"/>
          <w:szCs w:val="28"/>
        </w:rPr>
        <w:t>】月【</w:t>
      </w:r>
      <w:r>
        <w:rPr>
          <w:rFonts w:hint="eastAsia" w:ascii="仿宋_GB2312" w:hAnsi="仿宋" w:eastAsia="仿宋_GB2312" w:cs="仿宋"/>
          <w:color w:val="000000"/>
          <w:sz w:val="28"/>
          <w:szCs w:val="28"/>
          <w:lang w:val="en-US" w:eastAsia="zh-CN"/>
        </w:rPr>
        <w:t>31</w:t>
      </w:r>
      <w:r>
        <w:rPr>
          <w:rFonts w:hint="eastAsia" w:ascii="仿宋_GB2312" w:hAnsi="仿宋" w:eastAsia="仿宋_GB2312" w:cs="仿宋"/>
          <w:color w:val="000000"/>
          <w:sz w:val="28"/>
          <w:szCs w:val="28"/>
        </w:rPr>
        <w:t>】日的债权本金，债务人和担保人应支付给我司的利息、罚息、复利、违约金及其它应付款，按借款合同、担保合同及中国人民银行的有关规定或生效法律文书确定的方法计算；</w:t>
      </w:r>
    </w:p>
    <w:p w14:paraId="0EE6D8AF">
      <w:pPr>
        <w:pStyle w:val="16"/>
        <w:widowControl/>
        <w:spacing w:line="360" w:lineRule="atLeast"/>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2.若债务人、担保人因各种原因更名、改制、歇业、吊销营业执照或丧失民事主体资格的，请相关承债主体或主管部门代为履行义务或履行清算责任；</w:t>
      </w:r>
    </w:p>
    <w:p w14:paraId="49136C65">
      <w:pPr>
        <w:pStyle w:val="16"/>
        <w:widowControl/>
        <w:spacing w:line="360" w:lineRule="atLeast"/>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3.以上内容如有错漏，以债务人、担保人等原已签署的交易合同</w:t>
      </w:r>
      <w:r>
        <w:rPr>
          <w:rFonts w:hint="eastAsia" w:ascii="仿宋" w:hAnsi="仿宋" w:cs="仿宋"/>
          <w:sz w:val="28"/>
          <w:szCs w:val="28"/>
          <w:shd w:val="clear" w:color="auto" w:fill="FFFFFF"/>
          <w:lang w:bidi="ar"/>
        </w:rPr>
        <w:t>及/或生效法律文书等相关法律文件</w:t>
      </w:r>
      <w:r>
        <w:rPr>
          <w:rFonts w:hint="eastAsia" w:ascii="仿宋_GB2312" w:hAnsi="仿宋" w:eastAsia="仿宋_GB2312" w:cs="仿宋"/>
          <w:color w:val="000000"/>
          <w:sz w:val="28"/>
          <w:szCs w:val="28"/>
        </w:rPr>
        <w:t>为准；</w:t>
      </w:r>
    </w:p>
    <w:p w14:paraId="136E10BA">
      <w:pPr>
        <w:pStyle w:val="16"/>
        <w:widowControl/>
        <w:spacing w:line="360" w:lineRule="atLeast"/>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4.</w:t>
      </w:r>
      <w:r>
        <w:rPr>
          <w:rFonts w:hint="eastAsia" w:ascii="仿宋_GB2312" w:hAnsi="仿宋" w:eastAsia="仿宋_GB2312" w:cs="仿宋"/>
          <w:color w:val="2B2B2B"/>
          <w:sz w:val="28"/>
          <w:szCs w:val="28"/>
          <w:shd w:val="clear" w:color="auto" w:fill="FFFFFF"/>
        </w:rPr>
        <w:t>资产介绍及照片内容仅供参考,我司不对其承担任何法律责任。</w:t>
      </w:r>
    </w:p>
    <w:p w14:paraId="46D68A38">
      <w:pPr>
        <w:rPr>
          <w:rFonts w:hint="eastAsia" w:ascii="仿宋" w:hAnsi="仿宋" w:eastAsia="仿宋" w:cs="Times New Roman"/>
          <w:bCs/>
          <w:kern w:val="0"/>
          <w:sz w:val="28"/>
          <w:szCs w:val="32"/>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苹方-简"/>
    <w:panose1 w:val="00000000000000000000"/>
    <w:charset w:val="86"/>
    <w:family w:val="auto"/>
    <w:pitch w:val="default"/>
    <w:sig w:usb0="00000000" w:usb1="00000000" w:usb2="00000000" w:usb3="00000000" w:csb0="00000000" w:csb1="00000000"/>
  </w:font>
  <w:font w:name="等线">
    <w:altName w:val="苹方-简"/>
    <w:panose1 w:val="00000000000000000000"/>
    <w:charset w:val="86"/>
    <w:family w:val="auto"/>
    <w:pitch w:val="default"/>
    <w:sig w:usb0="00000000" w:usb1="00000000" w:usb2="00000000" w:usb3="00000000" w:csb0="00000000" w:csb1="00000000"/>
  </w:font>
  <w:font w:name="等线">
    <w:altName w:val="苹方-简"/>
    <w:panose1 w:val="00000000000000000000"/>
    <w:charset w:val="00"/>
    <w:family w:val="auto"/>
    <w:pitch w:val="default"/>
    <w:sig w:usb0="00000000" w:usb1="00000000" w:usb2="00000000" w:usb3="00000000" w:csb0="00000000" w:csb1="00000000"/>
  </w:font>
  <w:font w:name="等线 Light">
    <w:altName w:val="苹方-简"/>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华文中宋">
    <w:altName w:val="宋体-简"/>
    <w:panose1 w:val="02010600040101010101"/>
    <w:charset w:val="86"/>
    <w:family w:val="auto"/>
    <w:pitch w:val="default"/>
    <w:sig w:usb0="00000000" w:usb1="00000000" w:usb2="00000010" w:usb3="00000000" w:csb0="0004009F" w:csb1="00000000"/>
  </w:font>
  <w:font w:name="苹方-简">
    <w:panose1 w:val="020B0400000000000000"/>
    <w:charset w:val="86"/>
    <w:family w:val="auto"/>
    <w:pitch w:val="default"/>
    <w:sig w:usb0="A00002FF" w:usb1="7ACFFDFB" w:usb2="00000017" w:usb3="00000000" w:csb0="00040001" w:csb1="00000000"/>
  </w:font>
  <w:font w:name="宋体-简">
    <w:panose1 w:val="02010800040101010101"/>
    <w:charset w:val="86"/>
    <w:family w:val="auto"/>
    <w:pitch w:val="default"/>
    <w:sig w:usb0="00000001" w:usb1="080F0000" w:usb2="00000000" w:usb3="00000000" w:csb0="00040000" w:csb1="00000000"/>
  </w:font>
  <w:font w:name="黑体-简">
    <w:panose1 w:val="02000000000000000000"/>
    <w:charset w:val="86"/>
    <w:family w:val="auto"/>
    <w:pitch w:val="default"/>
    <w:sig w:usb0="8000002F" w:usb1="0800004A" w:usb2="00000000" w:usb3="00000000" w:csb0="203E0000" w:csb1="00000000"/>
  </w:font>
  <w:font w:name="方正仿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81CAD"/>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C377FE9"/>
    <w:rsid w:val="3EB90695"/>
    <w:rsid w:val="6FBFFBE4"/>
    <w:rsid w:val="79C77851"/>
    <w:rsid w:val="DF771438"/>
    <w:rsid w:val="FD5E6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qFormat/>
    <w:uiPriority w:val="0"/>
    <w:pPr>
      <w:keepNext/>
      <w:keepLines/>
      <w:spacing w:before="340" w:after="330" w:line="578" w:lineRule="auto"/>
      <w:outlineLvl w:val="0"/>
    </w:pPr>
    <w:rPr>
      <w:rFonts w:ascii="Times New Roman" w:hAnsi="Times New Roman" w:eastAsia="SimSun" w:cs="Times New Roman"/>
      <w:b/>
      <w:bCs/>
      <w:kern w:val="44"/>
      <w:sz w:val="44"/>
      <w:szCs w:val="44"/>
    </w:rPr>
  </w:style>
  <w:style w:type="paragraph" w:styleId="3">
    <w:name w:val="heading 2"/>
    <w:basedOn w:val="1"/>
    <w:next w:val="1"/>
    <w:link w:val="25"/>
    <w:unhideWhenUsed/>
    <w:qFormat/>
    <w:uiPriority w:val="0"/>
    <w:pPr>
      <w:keepNext/>
      <w:keepLines/>
      <w:spacing w:before="260" w:after="260" w:line="413" w:lineRule="auto"/>
      <w:outlineLvl w:val="1"/>
    </w:pPr>
    <w:rPr>
      <w:rFonts w:ascii="Arial" w:hAnsi="Arial" w:eastAsia="SimHei" w:cs="Times New Roman"/>
      <w:b/>
      <w:sz w:val="32"/>
      <w:szCs w:val="24"/>
    </w:rPr>
  </w:style>
  <w:style w:type="paragraph" w:styleId="4">
    <w:name w:val="heading 3"/>
    <w:basedOn w:val="1"/>
    <w:next w:val="1"/>
    <w:link w:val="26"/>
    <w:unhideWhenUsed/>
    <w:qFormat/>
    <w:uiPriority w:val="0"/>
    <w:pPr>
      <w:keepNext/>
      <w:keepLines/>
      <w:spacing w:before="260" w:after="260" w:line="413" w:lineRule="auto"/>
      <w:outlineLvl w:val="2"/>
    </w:pPr>
    <w:rPr>
      <w:rFonts w:ascii="Times New Roman" w:hAnsi="Times New Roman" w:eastAsia="SimSun" w:cs="Times New Roman"/>
      <w:b/>
      <w:sz w:val="32"/>
      <w:szCs w:val="24"/>
    </w:rPr>
  </w:style>
  <w:style w:type="paragraph" w:styleId="5">
    <w:name w:val="heading 4"/>
    <w:basedOn w:val="1"/>
    <w:next w:val="1"/>
    <w:link w:val="27"/>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6">
    <w:name w:val="Default Paragraph Font"/>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8">
    <w:name w:val="Balloon Text"/>
    <w:basedOn w:val="1"/>
    <w:link w:val="23"/>
    <w:unhideWhenUsed/>
    <w:qFormat/>
    <w:uiPriority w:val="0"/>
    <w:rPr>
      <w:sz w:val="18"/>
      <w:szCs w:val="18"/>
    </w:rPr>
  </w:style>
  <w:style w:type="character" w:styleId="9">
    <w:name w:val="annotation reference"/>
    <w:basedOn w:val="6"/>
    <w:unhideWhenUsed/>
    <w:qFormat/>
    <w:uiPriority w:val="0"/>
    <w:rPr>
      <w:sz w:val="21"/>
      <w:szCs w:val="21"/>
    </w:rPr>
  </w:style>
  <w:style w:type="paragraph" w:styleId="10">
    <w:name w:val="annotation text"/>
    <w:basedOn w:val="1"/>
    <w:link w:val="21"/>
    <w:unhideWhenUsed/>
    <w:qFormat/>
    <w:uiPriority w:val="0"/>
    <w:pPr>
      <w:jc w:val="left"/>
    </w:pPr>
  </w:style>
  <w:style w:type="paragraph" w:styleId="11">
    <w:name w:val="annotation subject"/>
    <w:basedOn w:val="10"/>
    <w:next w:val="10"/>
    <w:link w:val="22"/>
    <w:unhideWhenUsed/>
    <w:qFormat/>
    <w:uiPriority w:val="0"/>
    <w:rPr>
      <w:b/>
      <w:bCs/>
    </w:rPr>
  </w:style>
  <w:style w:type="character" w:styleId="12">
    <w:name w:val="FollowedHyperlink"/>
    <w:basedOn w:val="6"/>
    <w:semiHidden/>
    <w:unhideWhenUsed/>
    <w:uiPriority w:val="99"/>
    <w:rPr>
      <w:color w:val="800080"/>
      <w:u w:val="single"/>
    </w:rPr>
  </w:style>
  <w:style w:type="paragraph" w:styleId="13">
    <w:name w:val="footer"/>
    <w:basedOn w:val="1"/>
    <w:link w:val="19"/>
    <w:unhideWhenUsed/>
    <w:qFormat/>
    <w:uiPriority w:val="0"/>
    <w:pPr>
      <w:tabs>
        <w:tab w:val="center" w:pos="4153"/>
        <w:tab w:val="right" w:pos="8306"/>
      </w:tabs>
      <w:snapToGrid w:val="0"/>
      <w:jc w:val="left"/>
    </w:pPr>
    <w:rPr>
      <w:sz w:val="18"/>
      <w:szCs w:val="18"/>
    </w:rPr>
  </w:style>
  <w:style w:type="paragraph" w:styleId="14">
    <w:name w:val="header"/>
    <w:basedOn w:val="1"/>
    <w:link w:val="18"/>
    <w:unhideWhenUsed/>
    <w:qFormat/>
    <w:uiPriority w:val="0"/>
    <w:pPr>
      <w:pBdr>
        <w:bottom w:val="single" w:color="auto" w:sz="6" w:space="1"/>
      </w:pBdr>
      <w:tabs>
        <w:tab w:val="center" w:pos="4153"/>
        <w:tab w:val="right" w:pos="8306"/>
      </w:tabs>
      <w:snapToGrid w:val="0"/>
      <w:jc w:val="center"/>
    </w:pPr>
    <w:rPr>
      <w:sz w:val="18"/>
      <w:szCs w:val="18"/>
    </w:rPr>
  </w:style>
  <w:style w:type="character" w:styleId="15">
    <w:name w:val="Hyperlink"/>
    <w:basedOn w:val="6"/>
    <w:semiHidden/>
    <w:unhideWhenUsed/>
    <w:uiPriority w:val="99"/>
    <w:rPr>
      <w:color w:val="0000FF"/>
      <w:u w:val="single"/>
    </w:rPr>
  </w:style>
  <w:style w:type="paragraph" w:styleId="16">
    <w:name w:val="Normal (Web)"/>
    <w:basedOn w:val="1"/>
    <w:unhideWhenUsed/>
    <w:qFormat/>
    <w:uiPriority w:val="0"/>
    <w:pPr>
      <w:spacing w:line="360" w:lineRule="auto"/>
      <w:ind w:firstLine="700" w:firstLineChars="250"/>
    </w:pPr>
    <w:rPr>
      <w:rFonts w:ascii="Times New Roman" w:hAnsi="Times New Roman" w:eastAsia="仿宋" w:cs="Times New Roman"/>
      <w:sz w:val="24"/>
      <w:szCs w:val="24"/>
    </w:rPr>
  </w:style>
  <w:style w:type="table" w:styleId="17">
    <w:name w:val="Table Grid"/>
    <w:basedOn w:val="7"/>
    <w:qFormat/>
    <w:uiPriority w:val="39"/>
    <w:pPr>
      <w:widowControl w:val="0"/>
      <w:jc w:val="both"/>
    </w:pPr>
    <w:rPr>
      <w:rFonts w:ascii="Times New Roman" w:hAnsi="Times New Roman" w:eastAsia="SimSu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8">
    <w:name w:val="页眉 字符"/>
    <w:basedOn w:val="6"/>
    <w:link w:val="14"/>
    <w:uiPriority w:val="99"/>
    <w:rPr>
      <w:sz w:val="18"/>
      <w:szCs w:val="18"/>
    </w:rPr>
  </w:style>
  <w:style w:type="character" w:customStyle="1" w:styleId="19">
    <w:name w:val="页脚 字符"/>
    <w:basedOn w:val="6"/>
    <w:link w:val="13"/>
    <w:uiPriority w:val="99"/>
    <w:rPr>
      <w:sz w:val="18"/>
      <w:szCs w:val="18"/>
    </w:rPr>
  </w:style>
  <w:style w:type="paragraph" w:styleId="20">
    <w:name w:val="List Paragraph"/>
    <w:basedOn w:val="1"/>
    <w:qFormat/>
    <w:uiPriority w:val="34"/>
    <w:pPr>
      <w:spacing w:line="360" w:lineRule="auto"/>
      <w:ind w:firstLine="420" w:firstLineChars="200"/>
    </w:pPr>
    <w:rPr>
      <w:rFonts w:ascii="仿宋" w:hAnsi="仿宋" w:eastAsia="仿宋" w:cs="Times New Roman"/>
      <w:sz w:val="28"/>
      <w:szCs w:val="28"/>
    </w:rPr>
  </w:style>
  <w:style w:type="character" w:customStyle="1" w:styleId="21">
    <w:name w:val="批注文字 字符"/>
    <w:basedOn w:val="6"/>
    <w:link w:val="10"/>
    <w:qFormat/>
    <w:uiPriority w:val="0"/>
  </w:style>
  <w:style w:type="character" w:customStyle="1" w:styleId="22">
    <w:name w:val="批注主题 字符"/>
    <w:basedOn w:val="21"/>
    <w:link w:val="11"/>
    <w:qFormat/>
    <w:uiPriority w:val="0"/>
    <w:rPr>
      <w:b/>
      <w:bCs/>
    </w:rPr>
  </w:style>
  <w:style w:type="character" w:customStyle="1" w:styleId="23">
    <w:name w:val="批注框文本 字符"/>
    <w:basedOn w:val="6"/>
    <w:link w:val="8"/>
    <w:qFormat/>
    <w:uiPriority w:val="0"/>
    <w:rPr>
      <w:sz w:val="18"/>
      <w:szCs w:val="18"/>
    </w:rPr>
  </w:style>
  <w:style w:type="character" w:customStyle="1" w:styleId="24">
    <w:name w:val="标题 1 字符"/>
    <w:basedOn w:val="6"/>
    <w:link w:val="2"/>
    <w:uiPriority w:val="0"/>
    <w:rPr>
      <w:rFonts w:ascii="Times New Roman" w:hAnsi="Times New Roman" w:eastAsia="SimSun" w:cs="Times New Roman"/>
      <w:b/>
      <w:bCs/>
      <w:kern w:val="44"/>
      <w:sz w:val="44"/>
      <w:szCs w:val="44"/>
    </w:rPr>
  </w:style>
  <w:style w:type="character" w:customStyle="1" w:styleId="25">
    <w:name w:val="标题 2 字符"/>
    <w:basedOn w:val="6"/>
    <w:link w:val="3"/>
    <w:uiPriority w:val="0"/>
    <w:rPr>
      <w:rFonts w:ascii="Arial" w:hAnsi="Arial" w:eastAsia="SimHei" w:cs="Times New Roman"/>
      <w:b/>
      <w:kern w:val="2"/>
      <w:sz w:val="32"/>
      <w:szCs w:val="24"/>
    </w:rPr>
  </w:style>
  <w:style w:type="character" w:customStyle="1" w:styleId="26">
    <w:name w:val="标题 3 字符"/>
    <w:basedOn w:val="6"/>
    <w:link w:val="4"/>
    <w:uiPriority w:val="0"/>
    <w:rPr>
      <w:rFonts w:ascii="Times New Roman" w:hAnsi="Times New Roman" w:eastAsia="SimSun" w:cs="Times New Roman"/>
      <w:b/>
      <w:kern w:val="2"/>
      <w:sz w:val="32"/>
      <w:szCs w:val="24"/>
    </w:rPr>
  </w:style>
  <w:style w:type="character" w:customStyle="1" w:styleId="27">
    <w:name w:val="标题 4 字符"/>
    <w:basedOn w:val="6"/>
    <w:link w:val="5"/>
    <w:semiHidden/>
    <w:uiPriority w:val="9"/>
    <w:rPr>
      <w:rFonts w:asciiTheme="majorHAnsi" w:hAnsiTheme="majorHAnsi" w:eastAsiaTheme="majorEastAsia" w:cstheme="majorBidi"/>
      <w:b/>
      <w:bCs/>
      <w:kern w:val="2"/>
      <w:sz w:val="28"/>
      <w:szCs w:val="28"/>
    </w:rPr>
  </w:style>
  <w:style w:type="table" w:customStyle="1" w:styleId="28">
    <w:name w:val="网格型6"/>
    <w:basedOn w:val="7"/>
    <w:qFormat/>
    <w:uiPriority w:val="0"/>
    <w:rPr>
      <w:rFonts w:ascii="Times New Roman" w:hAnsi="Times New Roman" w:eastAsia="SimSu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
    <w:name w:val="网格型61"/>
    <w:basedOn w:val="7"/>
    <w:qFormat/>
    <w:uiPriority w:val="0"/>
    <w:rPr>
      <w:rFonts w:ascii="Times New Roman" w:hAnsi="Times New Roman" w:eastAsia="SimSu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0">
    <w:name w:val="msonormal"/>
    <w:basedOn w:val="1"/>
    <w:uiPriority w:val="0"/>
    <w:pPr>
      <w:widowControl/>
      <w:spacing w:before="100" w:beforeAutospacing="1" w:after="100" w:afterAutospacing="1"/>
      <w:jc w:val="left"/>
    </w:pPr>
    <w:rPr>
      <w:rFonts w:ascii="SimSun" w:hAnsi="SimSun" w:eastAsia="SimSun" w:cs="SimSun"/>
      <w:kern w:val="0"/>
      <w:sz w:val="24"/>
      <w:szCs w:val="24"/>
    </w:rPr>
  </w:style>
  <w:style w:type="paragraph" w:customStyle="1" w:styleId="31">
    <w:name w:val="font5"/>
    <w:basedOn w:val="1"/>
    <w:uiPriority w:val="0"/>
    <w:pPr>
      <w:widowControl/>
      <w:spacing w:before="100" w:beforeAutospacing="1" w:after="100" w:afterAutospacing="1"/>
      <w:jc w:val="left"/>
    </w:pPr>
    <w:rPr>
      <w:rFonts w:ascii="SimSun" w:hAnsi="SimSun" w:eastAsia="SimSun" w:cs="SimSun"/>
      <w:kern w:val="0"/>
      <w:sz w:val="18"/>
      <w:szCs w:val="18"/>
    </w:rPr>
  </w:style>
  <w:style w:type="paragraph" w:customStyle="1" w:styleId="32">
    <w:name w:val="xl68"/>
    <w:basedOn w:val="1"/>
    <w:uiPriority w:val="0"/>
    <w:pPr>
      <w:widowControl/>
      <w:spacing w:before="100" w:beforeAutospacing="1" w:after="100" w:afterAutospacing="1"/>
      <w:jc w:val="left"/>
    </w:pPr>
    <w:rPr>
      <w:rFonts w:ascii="仿宋" w:hAnsi="仿宋" w:eastAsia="仿宋" w:cs="SimSun"/>
      <w:kern w:val="0"/>
      <w:sz w:val="18"/>
      <w:szCs w:val="18"/>
    </w:rPr>
  </w:style>
  <w:style w:type="paragraph" w:customStyle="1" w:styleId="33">
    <w:name w:val="xl69"/>
    <w:basedOn w:val="1"/>
    <w:uiPriority w:val="0"/>
    <w:pPr>
      <w:widowControl/>
      <w:spacing w:before="100" w:beforeAutospacing="1" w:after="100" w:afterAutospacing="1"/>
      <w:jc w:val="left"/>
    </w:pPr>
    <w:rPr>
      <w:rFonts w:ascii="仿宋" w:hAnsi="仿宋" w:eastAsia="仿宋" w:cs="SimSun"/>
      <w:kern w:val="0"/>
      <w:sz w:val="24"/>
      <w:szCs w:val="24"/>
    </w:rPr>
  </w:style>
  <w:style w:type="paragraph" w:customStyle="1" w:styleId="34">
    <w:name w:val="xl70"/>
    <w:basedOn w:val="1"/>
    <w:uiPriority w:val="0"/>
    <w:pPr>
      <w:widowControl/>
      <w:spacing w:before="100" w:beforeAutospacing="1" w:after="100" w:afterAutospacing="1"/>
      <w:jc w:val="left"/>
    </w:pPr>
    <w:rPr>
      <w:rFonts w:ascii="仿宋" w:hAnsi="仿宋" w:eastAsia="仿宋" w:cs="SimSun"/>
      <w:kern w:val="0"/>
      <w:sz w:val="24"/>
      <w:szCs w:val="24"/>
    </w:rPr>
  </w:style>
  <w:style w:type="paragraph" w:customStyle="1" w:styleId="35">
    <w:name w:val="xl71"/>
    <w:basedOn w:val="1"/>
    <w:uiPriority w:val="0"/>
    <w:pPr>
      <w:widowControl/>
      <w:spacing w:before="100" w:beforeAutospacing="1" w:after="100" w:afterAutospacing="1"/>
      <w:jc w:val="left"/>
    </w:pPr>
    <w:rPr>
      <w:rFonts w:ascii="仿宋" w:hAnsi="仿宋" w:eastAsia="仿宋" w:cs="SimSun"/>
      <w:kern w:val="0"/>
      <w:sz w:val="24"/>
      <w:szCs w:val="24"/>
    </w:rPr>
  </w:style>
  <w:style w:type="paragraph" w:customStyle="1" w:styleId="36">
    <w:name w:val="xl7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SimSun"/>
      <w:b/>
      <w:bCs/>
      <w:kern w:val="0"/>
      <w:sz w:val="18"/>
      <w:szCs w:val="18"/>
    </w:rPr>
  </w:style>
  <w:style w:type="paragraph" w:customStyle="1" w:styleId="37">
    <w:name w:val="xl7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SimSun"/>
      <w:b/>
      <w:bCs/>
      <w:kern w:val="0"/>
      <w:sz w:val="18"/>
      <w:szCs w:val="18"/>
    </w:rPr>
  </w:style>
  <w:style w:type="paragraph" w:customStyle="1" w:styleId="38">
    <w:name w:val="xl7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SimSun"/>
      <w:kern w:val="0"/>
      <w:sz w:val="18"/>
      <w:szCs w:val="18"/>
    </w:rPr>
  </w:style>
  <w:style w:type="paragraph" w:customStyle="1" w:styleId="39">
    <w:name w:val="xl7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SimSun"/>
      <w:b/>
      <w:bCs/>
      <w:kern w:val="0"/>
      <w:sz w:val="28"/>
      <w:szCs w:val="28"/>
    </w:rPr>
  </w:style>
  <w:style w:type="paragraph" w:customStyle="1" w:styleId="40">
    <w:name w:val="xl7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SimSun"/>
      <w:b/>
      <w:bCs/>
      <w:kern w:val="0"/>
      <w:sz w:val="28"/>
      <w:szCs w:val="28"/>
    </w:rPr>
  </w:style>
  <w:style w:type="paragraph" w:customStyle="1" w:styleId="41">
    <w:name w:val="xl7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仿宋" w:hAnsi="仿宋" w:eastAsia="仿宋" w:cs="SimSun"/>
      <w:kern w:val="0"/>
      <w:sz w:val="18"/>
      <w:szCs w:val="18"/>
    </w:rPr>
  </w:style>
  <w:style w:type="paragraph" w:customStyle="1" w:styleId="42">
    <w:name w:val="xl7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仿宋" w:hAnsi="仿宋" w:eastAsia="仿宋" w:cs="SimSun"/>
      <w:kern w:val="0"/>
      <w:sz w:val="18"/>
      <w:szCs w:val="18"/>
    </w:rPr>
  </w:style>
  <w:style w:type="table" w:customStyle="1" w:styleId="43">
    <w:name w:val="Grid Table Light"/>
    <w:basedOn w:val="7"/>
    <w:uiPriority w:val="40"/>
    <w:rPr>
      <w:kern w:val="2"/>
      <w:sz w:val="21"/>
      <w:szCs w:val="22"/>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paragraph" w:customStyle="1" w:styleId="44">
    <w:name w:val="正文正文"/>
    <w:basedOn w:val="1"/>
    <w:link w:val="45"/>
    <w:autoRedefine/>
    <w:qFormat/>
    <w:uiPriority w:val="0"/>
    <w:pPr>
      <w:jc w:val="left"/>
    </w:pPr>
    <w:rPr>
      <w:rFonts w:ascii="仿宋_GB2312" w:hAnsi="Times New Roman" w:eastAsia="仿宋_GB2312" w:cs="Times New Roman"/>
      <w:kern w:val="0"/>
      <w:szCs w:val="21"/>
    </w:rPr>
  </w:style>
  <w:style w:type="character" w:customStyle="1" w:styleId="45">
    <w:name w:val="正文正文 字符"/>
    <w:basedOn w:val="6"/>
    <w:link w:val="44"/>
    <w:uiPriority w:val="0"/>
    <w:rPr>
      <w:rFonts w:ascii="仿宋_GB2312" w:hAnsi="Times New Roman" w:eastAsia="仿宋_GB2312" w:cs="Times New Roman"/>
      <w:sz w:val="21"/>
      <w:szCs w:val="21"/>
    </w:rPr>
  </w:style>
  <w:style w:type="table" w:customStyle="1" w:styleId="46">
    <w:name w:val="网格型浅色1"/>
    <w:basedOn w:val="7"/>
    <w:qFormat/>
    <w:uiPriority w:val="40"/>
    <w:rPr>
      <w:rFonts w:ascii="Times New Roman" w:hAnsi="Times New Roman" w:eastAsia="SimSun" w:cs="Times New Roman"/>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tyleName="APA" Version="6" SelectedStyle="\APASixthEditionOfficeOnline.xsl"/>
</file>

<file path=customXml/itemProps1.xml><?xml version="1.0" encoding="utf-8"?>
<ds:datastoreItem xmlns:ds="http://schemas.openxmlformats.org/officeDocument/2006/customXml" ds:itemID="{C7B6ADF4-0940-491A-801C-24EE4B1BA3E8}">
  <ds:schemaRefs/>
</ds:datastoreItem>
</file>

<file path=docProps/app.xml><?xml version="1.0" encoding="utf-8"?>
<Properties xmlns="http://schemas.openxmlformats.org/officeDocument/2006/extended-properties" xmlns:vt="http://schemas.openxmlformats.org/officeDocument/2006/docPropsVTypes">
  <Template>Normal</Template>
  <Pages>3</Pages>
  <Words>153</Words>
  <Characters>876</Characters>
  <Lines>7</Lines>
  <Paragraphs>2</Paragraphs>
  <TotalTime>0</TotalTime>
  <ScaleCrop>false</ScaleCrop>
  <LinksUpToDate>false</LinksUpToDate>
  <CharactersWithSpaces>1027</CharactersWithSpaces>
  <Application>WPS Office_12.1.22226.22226_F1E327BC-269C-435d-A152-05C5408002CA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2024-12-05T06:39:00Z</dcterms:created>
  <dc:creator>黄月琴</dc:creator>
  <cp:lastModifiedBy>oliviahuang</cp:lastModifiedBy>
  <cp:lastPrinted>2025-02-12T09:23:00Z</cp:lastPrinted>
  <dcterms:modified xsi:type="dcterms:W3CDTF">2025-10-30T15:20:00Z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1033-12.1.22226.22226</vt:lpwstr>
  </property>
  <property fmtid="{D5CDD505-2E9C-101B-9397-08002B2CF9AE}" pid="3" name="ICV">
    <vt:lpwstr>742C725D436B4B439FC9D3F1A93B355E</vt:lpwstr>
  </property>
</Properties>
</file>